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Noto Naskh Arabic" w:hAnsi="Noto Naskh Arabic" w:cs="Noto Naskh Arabic" w:eastAsia="Noto Naskh Arabic"/>
          <w:b/>
          <w:sz w:val="46"/>
        </w:rPr>
        <w:t>المثلية الجنسية والكنيسة</w:t>
      </w:r>
    </w:p>
    <w:p>
      <w:pPr>
        <w:jc w:val="center"/>
        <w:bidi w:val="1"/>
      </w:pPr>
      <w:r>
        <w:rPr>
          <w:rFonts w:ascii="Noto Naskh Arabic" w:hAnsi="Noto Naskh Arabic" w:cs="Noto Naskh Arabic" w:eastAsia="Noto Naskh Arabic"/>
          <w:b/>
          <w:sz w:val="29"/>
        </w:rPr>
        <w:t>إجابات الكتاب المقدس عن أسئلة أخلاقية</w:t>
      </w:r>
    </w:p>
    <w:p>
      <w:pPr>
        <w:jc w:val="right"/>
        <w:bidi w:val="1"/>
      </w:pPr>
      <w:r>
        <w:rPr>
          <w:rFonts w:ascii="Noto Naskh Arabic" w:hAnsi="Noto Naskh Arabic" w:cs="Noto Naskh Arabic" w:eastAsia="Noto Naskh Arabic"/>
          <w:b w:val="0"/>
          <w:sz w:val="18"/>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p/>
    <w:p>
      <w:pPr>
        <w:spacing w:after="0"/>
        <w:jc w:val="right"/>
        <w:bidi w:val="1"/>
      </w:pPr>
      <w:r>
        <w:rPr>
          <w:rFonts w:ascii="Noto Naskh Arabic" w:hAnsi="Noto Naskh Arabic" w:cs="Noto Naskh Arabic" w:eastAsia="Noto Naskh Arabic"/>
          <w:b w:val="0"/>
          <w:sz w:val="21"/>
        </w:rPr>
        <w:t>• الغفران في المسيح</w:t>
      </w:r>
    </w:p>
    <w:p>
      <w:pPr>
        <w:spacing w:after="0"/>
        <w:jc w:val="right"/>
        <w:bidi w:val="1"/>
      </w:pPr>
      <w:r>
        <w:rPr>
          <w:rFonts w:ascii="Noto Naskh Arabic" w:hAnsi="Noto Naskh Arabic" w:cs="Noto Naskh Arabic" w:eastAsia="Noto Naskh Arabic"/>
          <w:b w:val="0"/>
          <w:sz w:val="21"/>
        </w:rPr>
        <w:t>• ما علاقة كل هذا بموضوعنا؟</w:t>
      </w:r>
    </w:p>
    <w:p>
      <w:pPr>
        <w:spacing w:after="0"/>
        <w:jc w:val="right"/>
        <w:bidi w:val="1"/>
      </w:pPr>
      <w:r>
        <w:rPr>
          <w:rFonts w:ascii="Noto Naskh Arabic" w:hAnsi="Noto Naskh Arabic" w:cs="Noto Naskh Arabic" w:eastAsia="Noto Naskh Arabic"/>
          <w:b w:val="0"/>
          <w:sz w:val="21"/>
        </w:rPr>
        <w:t>• لماذا تُرفض الممارسة المثلية في تعليم الكتاب؟</w:t>
      </w:r>
    </w:p>
    <w:p>
      <w:pPr>
        <w:spacing w:after="0"/>
        <w:jc w:val="right"/>
        <w:bidi w:val="1"/>
      </w:pPr>
      <w:r>
        <w:rPr>
          <w:rFonts w:ascii="Noto Naskh Arabic" w:hAnsi="Noto Naskh Arabic" w:cs="Noto Naskh Arabic" w:eastAsia="Noto Naskh Arabic"/>
          <w:b w:val="0"/>
          <w:sz w:val="21"/>
        </w:rPr>
        <w:t>• الزواج — ترتيب إلهي</w:t>
      </w:r>
    </w:p>
    <w:p>
      <w:pPr>
        <w:spacing w:after="0"/>
        <w:jc w:val="right"/>
        <w:bidi w:val="1"/>
      </w:pPr>
      <w:r>
        <w:rPr>
          <w:rFonts w:ascii="Noto Naskh Arabic" w:hAnsi="Noto Naskh Arabic" w:cs="Noto Naskh Arabic" w:eastAsia="Noto Naskh Arabic"/>
          <w:b w:val="0"/>
          <w:sz w:val="21"/>
        </w:rPr>
        <w:t>• سبب أعمق</w:t>
      </w:r>
    </w:p>
    <w:p>
      <w:pPr>
        <w:spacing w:after="0"/>
        <w:jc w:val="right"/>
        <w:bidi w:val="1"/>
      </w:pPr>
      <w:r>
        <w:rPr>
          <w:rFonts w:ascii="Noto Naskh Arabic" w:hAnsi="Noto Naskh Arabic" w:cs="Noto Naskh Arabic" w:eastAsia="Noto Naskh Arabic"/>
          <w:b w:val="0"/>
          <w:sz w:val="21"/>
        </w:rPr>
        <w:t>• تعليم قاسٍ؟</w:t>
      </w:r>
    </w:p>
    <w:p>
      <w:pPr>
        <w:spacing w:after="0"/>
        <w:jc w:val="right"/>
        <w:bidi w:val="1"/>
      </w:pPr>
      <w:r>
        <w:rPr>
          <w:rFonts w:ascii="Noto Naskh Arabic" w:hAnsi="Noto Naskh Arabic" w:cs="Noto Naskh Arabic" w:eastAsia="Noto Naskh Arabic"/>
          <w:b w:val="0"/>
          <w:sz w:val="21"/>
        </w:rPr>
        <w:t>• هل يولد بعض الأشخاص مثليين؟</w:t>
      </w:r>
    </w:p>
    <w:p>
      <w:pPr>
        <w:spacing w:after="0"/>
        <w:jc w:val="right"/>
        <w:bidi w:val="1"/>
      </w:pPr>
      <w:r>
        <w:rPr>
          <w:rFonts w:ascii="Noto Naskh Arabic" w:hAnsi="Noto Naskh Arabic" w:cs="Noto Naskh Arabic" w:eastAsia="Noto Naskh Arabic"/>
          <w:b w:val="0"/>
          <w:sz w:val="21"/>
        </w:rPr>
        <w:t>• الميول المثلية</w:t>
      </w:r>
    </w:p>
    <w:p>
      <w:pPr>
        <w:spacing w:after="0"/>
        <w:jc w:val="right"/>
        <w:bidi w:val="1"/>
      </w:pPr>
      <w:r>
        <w:rPr>
          <w:rFonts w:ascii="Noto Naskh Arabic" w:hAnsi="Noto Naskh Arabic" w:cs="Noto Naskh Arabic" w:eastAsia="Noto Naskh Arabic"/>
          <w:b w:val="0"/>
          <w:sz w:val="21"/>
        </w:rPr>
        <w:t>• الانحدار في رمال الخطية</w:t>
      </w:r>
    </w:p>
    <w:p>
      <w:pPr>
        <w:spacing w:after="0"/>
        <w:jc w:val="right"/>
        <w:bidi w:val="1"/>
      </w:pPr>
      <w:r>
        <w:rPr>
          <w:rFonts w:ascii="Noto Naskh Arabic" w:hAnsi="Noto Naskh Arabic" w:cs="Noto Naskh Arabic" w:eastAsia="Noto Naskh Arabic"/>
          <w:b w:val="0"/>
          <w:sz w:val="21"/>
        </w:rPr>
        <w:t>• مجتمع متسامح</w:t>
      </w:r>
    </w:p>
    <w:p>
      <w:pPr>
        <w:spacing w:after="0"/>
        <w:jc w:val="right"/>
        <w:bidi w:val="1"/>
      </w:pPr>
      <w:r>
        <w:rPr>
          <w:rFonts w:ascii="Noto Naskh Arabic" w:hAnsi="Noto Naskh Arabic" w:cs="Noto Naskh Arabic" w:eastAsia="Noto Naskh Arabic"/>
          <w:b w:val="0"/>
          <w:sz w:val="21"/>
        </w:rPr>
        <w:t>• هل عصرنا مختلف؟</w:t>
      </w:r>
    </w:p>
    <w:p>
      <w:pPr>
        <w:spacing w:after="80" w:line="250" w:lineRule="auto"/>
        <w:jc w:val="right"/>
        <w:bidi w:val="1"/>
      </w:pPr>
      <w:r>
        <w:rPr>
          <w:rFonts w:ascii="Noto Naskh Arabic" w:hAnsi="Noto Naskh Arabic" w:cs="Noto Naskh Arabic" w:eastAsia="Noto Naskh Arabic"/>
          <w:b w:val="0"/>
          <w:sz w:val="21"/>
        </w:rPr>
        <w:t>يضع المجتمع المعاصر تركيزاً كبيراً على الجنس والسلوك الجنسي. وما كان يُعد في أجيال سابقة أمراً خاصاً أصبح الآن موضوعاً علنياً دائماً. وفي الماضي كان هناك قانون أخلاقي مقبول على نطاق واسع، وكانت الانحرافات عنه تُعامل على أنها خروج عن ذلك القانون. أما اليوم فتُتسامح أشكال كثيرة من السلوك الجنسي ويُروَّج لبعضها، ويُشجَّع الفرد منذ سن صغيرة على أن يختار ما يناسبه.</w:t>
      </w:r>
    </w:p>
    <w:p>
      <w:pPr>
        <w:spacing w:after="80" w:line="250" w:lineRule="auto"/>
        <w:jc w:val="right"/>
        <w:bidi w:val="1"/>
      </w:pPr>
      <w:r>
        <w:rPr>
          <w:rFonts w:ascii="Noto Naskh Arabic" w:hAnsi="Noto Naskh Arabic" w:cs="Noto Naskh Arabic" w:eastAsia="Noto Naskh Arabic"/>
          <w:b w:val="0"/>
          <w:sz w:val="21"/>
        </w:rPr>
        <w:t>ويظهر هذا المناخ من التسامح بوضوح في موضوع المثلية الجنسية. فقد أصبحت المثلية أكثر حضوراً في المجال العام، وظهرت جماعات ضغط تسعى إلى تقديم وجهة النظر المثلية على قدم المساواة مع العلاقة بين الرجل والمرأة. ويستعمل تعبير «النشاط المثلي» لوصف هذا التوجه الاجتماعي والسياسي.</w:t>
      </w:r>
    </w:p>
    <w:p>
      <w:pPr>
        <w:spacing w:after="80" w:line="250" w:lineRule="auto"/>
        <w:jc w:val="right"/>
        <w:bidi w:val="1"/>
      </w:pPr>
      <w:r>
        <w:rPr>
          <w:rFonts w:ascii="Noto Naskh Arabic" w:hAnsi="Noto Naskh Arabic" w:cs="Noto Naskh Arabic" w:eastAsia="Noto Naskh Arabic"/>
          <w:b w:val="0"/>
          <w:sz w:val="21"/>
        </w:rPr>
        <w:t>يقول الكتيب إن هذه الضغوط تستمر على الرغم مما يراه رفضاً كتابياً واضحاً للممارسة المثلية. ويرى المؤلف أن بعض الكنائس صارت أقل صراحة في رفضها، وأن ذلك يرتبط بتغيير نظرتها إلى سلطان الكتاب المقدس أو بتقديم فكرة العلاقة المحبة، أياً كان شكلها، على ما يفهمه الكاتب على أنه شريعة الله.</w:t>
      </w:r>
    </w:p>
    <w:p>
      <w:pPr>
        <w:spacing w:after="80" w:line="250" w:lineRule="auto"/>
        <w:jc w:val="right"/>
        <w:bidi w:val="1"/>
      </w:pPr>
      <w:r>
        <w:rPr>
          <w:rFonts w:ascii="Noto Naskh Arabic" w:hAnsi="Noto Naskh Arabic" w:cs="Noto Naskh Arabic" w:eastAsia="Noto Naskh Arabic"/>
          <w:b w:val="0"/>
          <w:sz w:val="21"/>
        </w:rPr>
        <w:t>ولأن عنوان الكتيب هو «المثلية الجنسية والكنيسة»، فالموضوع عند المؤلف ديني في أساسه. فالدين يتعلق بالعلاقات: أولاً علاقة الله بالإنسان، ثم علاقات البشر بعضهم ببعض. ويؤكد الكتاب، في نظر المؤمنين به، أن الله هو السيد الذي يُعبد ويستحق طاعة خليقته. ولذلك لا يرى المؤمن بالكتاب أنه حر في اختراع قانون أخلاقي خاص به، بل عليه أن يقبل أوامر الله ويسعى إلى حياة ترضيه.</w:t>
      </w:r>
    </w:p>
    <w:p>
      <w:pPr>
        <w:spacing w:after="80" w:line="250" w:lineRule="auto"/>
        <w:jc w:val="right"/>
        <w:bidi w:val="1"/>
      </w:pPr>
      <w:r>
        <w:rPr>
          <w:rFonts w:ascii="Noto Naskh Arabic" w:hAnsi="Noto Naskh Arabic" w:cs="Noto Naskh Arabic" w:eastAsia="Noto Naskh Arabic"/>
          <w:b w:val="0"/>
          <w:sz w:val="21"/>
        </w:rPr>
        <w:t>قال يسوع: «أنتم أحبائي إن فعلتم ما أوصيكم به» (يوحنا 15:14)، ويقتبس الكتيب أيضاً من إشعياء: «وإلى هذا أنظر: إلى المسكين والمنسحق الروح والمرتعد من كلامي» (إشعياء 66:2).</w:t>
      </w:r>
    </w:p>
    <w:p>
      <w:pPr>
        <w:spacing w:after="80" w:line="250" w:lineRule="auto"/>
        <w:jc w:val="right"/>
        <w:bidi w:val="1"/>
      </w:pPr>
      <w:r>
        <w:rPr>
          <w:rFonts w:ascii="Noto Naskh Arabic" w:hAnsi="Noto Naskh Arabic" w:cs="Noto Naskh Arabic" w:eastAsia="Noto Naskh Arabic"/>
          <w:b w:val="0"/>
          <w:sz w:val="21"/>
        </w:rPr>
        <w:t>ويتناول قصد الله، بحسب الكتيب، مصالحة الإنسان مع نفسه وإصلاح العلاقة التي أفسدتها الخطية، أي الفشل في طاعة أوامر الله. وقد بادر الله إلى هذه المصالحة حين أرسل يسوع المسيح، الذي أطاعه طاعة كاملة. ويرى الكاتب أن يسوع نجح حيث أخفق الآخرون، وأن حياته صارت نموذجاً لكل مؤمن حقيقي. وبالإيمان والمعمودية إلى المسيح يقترب المسيحيون من الله. لذلك، عند مناقشة المثلية والكنيسة، يقول الكتيب إنه ينبغي البحث عن تقييم الله كما يراه في كلمته، والسؤال كيف كان يسوع سيستجيب لو عاش في العالم المعاصر.</w:t>
      </w:r>
    </w:p>
    <w:p>
      <w:pPr>
        <w:spacing w:before="140" w:after="40"/>
        <w:jc w:val="right"/>
        <w:bidi w:val="1"/>
        <w:keepNext/>
      </w:pPr>
      <w:r>
        <w:rPr>
          <w:rFonts w:ascii="Noto Naskh Arabic" w:hAnsi="Noto Naskh Arabic" w:cs="Noto Naskh Arabic" w:eastAsia="Noto Naskh Arabic"/>
          <w:b/>
          <w:sz w:val="28"/>
        </w:rPr>
        <w:t>الغفران في المسيح</w:t>
      </w:r>
    </w:p>
    <w:p>
      <w:pPr>
        <w:spacing w:after="80" w:line="250" w:lineRule="auto"/>
        <w:jc w:val="right"/>
        <w:bidi w:val="1"/>
      </w:pPr>
      <w:r>
        <w:rPr>
          <w:rFonts w:ascii="Noto Naskh Arabic" w:hAnsi="Noto Naskh Arabic" w:cs="Noto Naskh Arabic" w:eastAsia="Noto Naskh Arabic"/>
          <w:b w:val="0"/>
          <w:sz w:val="21"/>
        </w:rPr>
        <w:t>قبل الدخول مباشرة في موضوع المثلية، ينظر الكتيب أولاً إلى الحياة المسيحية وإلى نداء الإنجيل.</w:t>
      </w:r>
    </w:p>
    <w:p>
      <w:pPr>
        <w:spacing w:after="80" w:line="250" w:lineRule="auto"/>
        <w:jc w:val="right"/>
        <w:bidi w:val="1"/>
      </w:pPr>
      <w:r>
        <w:rPr>
          <w:rFonts w:ascii="Noto Naskh Arabic" w:hAnsi="Noto Naskh Arabic" w:cs="Noto Naskh Arabic" w:eastAsia="Noto Naskh Arabic"/>
          <w:b w:val="0"/>
          <w:sz w:val="21"/>
        </w:rPr>
        <w:t>عندما كرز رسل يسوع باسمه بعد موته وقيامته دعوا الرجال والنساء: «توبوا وليعتمد كل واحد منكم على اسم يسوع المسيح لغفران الخطايا» (أعمال 2:38). وكان من المفترض أن تتبع التوبة والمعمودية حياة مكرسة «لتعليم الرسل والشركة وكسر الخبز والصلوات» (أعمال 2:42).</w:t>
      </w:r>
    </w:p>
    <w:p>
      <w:pPr>
        <w:spacing w:after="80" w:line="250" w:lineRule="auto"/>
        <w:jc w:val="right"/>
        <w:bidi w:val="1"/>
      </w:pPr>
      <w:r>
        <w:rPr>
          <w:rFonts w:ascii="Noto Naskh Arabic" w:hAnsi="Noto Naskh Arabic" w:cs="Noto Naskh Arabic" w:eastAsia="Noto Naskh Arabic"/>
          <w:b w:val="0"/>
          <w:sz w:val="21"/>
        </w:rPr>
        <w:t>ويصف العهد الجديد ذلك في مواضع أخرى بأنه السير في «جدة الحياة» في المسيح. وتوجد مقاطع كثيرة تقول إن طريقة الحياة القديمة المرتبطة بالخطية يجب أن تُترك لكي يسعى المؤمن إلى حياة البر. ومن أمثلتها:</w:t>
      </w:r>
    </w:p>
    <w:p>
      <w:pPr>
        <w:spacing w:after="80" w:line="250" w:lineRule="auto"/>
        <w:jc w:val="right"/>
        <w:bidi w:val="1"/>
      </w:pPr>
      <w:r>
        <w:rPr>
          <w:rFonts w:ascii="Noto Naskh Arabic" w:hAnsi="Noto Naskh Arabic" w:cs="Noto Naskh Arabic" w:eastAsia="Noto Naskh Arabic"/>
          <w:b w:val="0"/>
          <w:sz w:val="21"/>
        </w:rPr>
        <w:t>«فدُفنا معه بالمعمودية للموت، حتى كما أقيم المسيح من الأموات بمجد الآب، هكذا نسلك نحن أيضاً في جدة الحياة» (رومية 6:4).</w:t>
      </w:r>
    </w:p>
    <w:p>
      <w:pPr>
        <w:spacing w:after="80" w:line="250" w:lineRule="auto"/>
        <w:jc w:val="right"/>
        <w:bidi w:val="1"/>
      </w:pPr>
      <w:r>
        <w:rPr>
          <w:rFonts w:ascii="Noto Naskh Arabic" w:hAnsi="Noto Naskh Arabic" w:cs="Noto Naskh Arabic" w:eastAsia="Noto Naskh Arabic"/>
          <w:b w:val="0"/>
          <w:sz w:val="21"/>
        </w:rPr>
        <w:t>«مع المسيح صُلبت، فأحيا لا أنا، بل المسيح يحيا في، فما أحياه الآن في الجسد فإنما أحياه في الإيمان، إيمان ابن الله، الذي أحبني وأسلم نفسه لأجلي» (غلاطية 2:20).</w:t>
      </w:r>
    </w:p>
    <w:p>
      <w:pPr>
        <w:spacing w:after="80" w:line="250" w:lineRule="auto"/>
        <w:jc w:val="right"/>
        <w:bidi w:val="1"/>
      </w:pPr>
      <w:r>
        <w:rPr>
          <w:rFonts w:ascii="Noto Naskh Arabic" w:hAnsi="Noto Naskh Arabic" w:cs="Noto Naskh Arabic" w:eastAsia="Noto Naskh Arabic"/>
          <w:b w:val="0"/>
          <w:sz w:val="21"/>
        </w:rPr>
        <w:t>ويشدد المؤلف على أن الحاجة إلى الانتقال من طريقة حياة قديمة إلى جديدة تنطبق على كل من يريد اتباع الرب يسوع. ولهذا توجد في العهد الجديد قوائم لسلوكيات متعددة. وغرض هذه القوائم، كما يقول، هو إظهار خطية المجتمع من جهة، وتشجيع المؤمنين على ترك ما هو شر وممارسة ما هو صالح من جهة أخرى.</w:t>
      </w:r>
    </w:p>
    <w:p>
      <w:pPr>
        <w:spacing w:after="80" w:line="250" w:lineRule="auto"/>
        <w:jc w:val="right"/>
        <w:bidi w:val="1"/>
      </w:pPr>
      <w:r>
        <w:rPr>
          <w:rFonts w:ascii="Noto Naskh Arabic" w:hAnsi="Noto Naskh Arabic" w:cs="Noto Naskh Arabic" w:eastAsia="Noto Naskh Arabic"/>
          <w:b w:val="0"/>
          <w:sz w:val="21"/>
        </w:rPr>
        <w:t>ومن الأمثلة غلاطية 5: «وأعمال الجسد ظاهرة، التي هي: زنى، عهارة، نجاسة، دعارة، عبادة الأوثان، سحر، عداوة، خصام، غيرة، سخط، تحزب، شقاق، بدعة، حسد، قتل، سكر، بطر، وأمثال هذه... إن الذين يفعلون مثل هذه لا يرثون ملكوت الله» (الآيات 19-21).</w:t>
      </w:r>
    </w:p>
    <w:p>
      <w:pPr>
        <w:spacing w:after="80" w:line="250" w:lineRule="auto"/>
        <w:jc w:val="right"/>
        <w:bidi w:val="1"/>
      </w:pPr>
      <w:r>
        <w:rPr>
          <w:rFonts w:ascii="Noto Naskh Arabic" w:hAnsi="Noto Naskh Arabic" w:cs="Noto Naskh Arabic" w:eastAsia="Noto Naskh Arabic"/>
          <w:b w:val="0"/>
          <w:sz w:val="21"/>
        </w:rPr>
        <w:t>ومن بين الرذائل المذكورة «العداوة». لا يفهم الكاتب بولس على أنه يقول إن نوبة غضب واحدة تستبعد الإنسان نهائياً من ملكوت الله؛ بل يتحدث عن حياة تسيطر عليها الممارسة المستمرة لهذه الأمور. ويؤكد ذلك، في نظره، ما يقوله بولس: «لا تضلوا! الله لا يُشمخ عليه. فإن الذي يزرعه الإنسان إياه يحصد أيضاً. لأن من يزرع لجسده فمن الجسد يحصد فساداً، ومن يزرع للروح فمن الروح يحصد حياة أبدية» (غلاطية 6:7-8).</w:t>
      </w:r>
    </w:p>
    <w:p>
      <w:pPr>
        <w:spacing w:after="80" w:line="250" w:lineRule="auto"/>
        <w:jc w:val="right"/>
        <w:bidi w:val="1"/>
      </w:pPr>
      <w:r>
        <w:rPr>
          <w:rFonts w:ascii="Noto Naskh Arabic" w:hAnsi="Noto Naskh Arabic" w:cs="Noto Naskh Arabic" w:eastAsia="Noto Naskh Arabic"/>
          <w:b w:val="0"/>
          <w:sz w:val="21"/>
        </w:rPr>
        <w:t>والرسالة التي يستخلصها الكتيب هي أن الله وضع قانوناً أخلاقياً يريد من أبنائه اتباعه، وأن تجاهل أوامره عمداً هو استهانة بسلطان الخالق. ويسأل: كيف يتوقع الإنسان وعد الحياة الأبدية إذا تعمد رفض كلمة الله أو اختار نمط حياة يعرف أنه، بحسب فهمه للكتاب، غير مقبول عند الله؟</w:t>
      </w:r>
    </w:p>
    <w:p>
      <w:pPr>
        <w:spacing w:after="80" w:line="250" w:lineRule="auto"/>
        <w:jc w:val="right"/>
        <w:bidi w:val="1"/>
      </w:pPr>
      <w:r>
        <w:rPr>
          <w:rFonts w:ascii="Noto Naskh Arabic" w:hAnsi="Noto Naskh Arabic" w:cs="Noto Naskh Arabic" w:eastAsia="Noto Naskh Arabic"/>
          <w:b w:val="0"/>
          <w:sz w:val="21"/>
        </w:rPr>
        <w:t>ويلخص الكتيب رسالة الرسل هكذا: بالتوبة الصادقة والمعمودية تُغفر الخطايا «من أجل المسيح»؛ والمؤمن المعتمد يُدعى إلى حياة جديدة في المسيح يسعى فيها إلى ترك الرغبات الأنانية والعيش له؛ والخطايا التي تقع بعد المعمودية يمكن أن تُغفر أيضاً عندما يكون الإنسان صادقاً في محاولته اتباع مثال يسوع. ويقتبس: «ولكن الذين هم للمسيح قد صلبوا الجسد مع الأهواء والشهوات» (غلاطية 5:24).</w:t>
      </w:r>
    </w:p>
    <w:p>
      <w:pPr>
        <w:spacing w:before="140" w:after="40"/>
        <w:jc w:val="right"/>
        <w:bidi w:val="1"/>
        <w:keepNext/>
      </w:pPr>
      <w:r>
        <w:rPr>
          <w:rFonts w:ascii="Noto Naskh Arabic" w:hAnsi="Noto Naskh Arabic" w:cs="Noto Naskh Arabic" w:eastAsia="Noto Naskh Arabic"/>
          <w:b/>
          <w:sz w:val="28"/>
        </w:rPr>
        <w:t>ما علاقة كل هذا بموضوعنا؟</w:t>
      </w:r>
    </w:p>
    <w:p>
      <w:pPr>
        <w:spacing w:after="80" w:line="250" w:lineRule="auto"/>
        <w:jc w:val="right"/>
        <w:bidi w:val="1"/>
      </w:pPr>
      <w:r>
        <w:rPr>
          <w:rFonts w:ascii="Noto Naskh Arabic" w:hAnsi="Noto Naskh Arabic" w:cs="Noto Naskh Arabic" w:eastAsia="Noto Naskh Arabic"/>
          <w:b w:val="0"/>
          <w:sz w:val="21"/>
        </w:rPr>
        <w:t>قد يبدو ما سبق بعيداً عن موضوع الكتيب، لكن المؤلف ينتقل إلى قائمة أخرى في 1 كورنثوس 6، ويشير إلى أن ترجمات حديثة تذكر فيها ممارسات مثلية:</w:t>
      </w:r>
    </w:p>
    <w:p>
      <w:pPr>
        <w:spacing w:after="80" w:line="250" w:lineRule="auto"/>
        <w:jc w:val="right"/>
        <w:bidi w:val="1"/>
      </w:pPr>
      <w:r>
        <w:rPr>
          <w:rFonts w:ascii="Noto Naskh Arabic" w:hAnsi="Noto Naskh Arabic" w:cs="Noto Naskh Arabic" w:eastAsia="Noto Naskh Arabic"/>
          <w:b w:val="0"/>
          <w:sz w:val="21"/>
        </w:rPr>
        <w:t>«أم لستم تعلمون أن الظالمين لا يرثون ملكوت الله؟ لا تضلوا: لا زناة، ولا عبدة أوثان، ولا فاسقون، ولا مخنثون، ولا مضاجعو ذكور، ولا سارقون، ولا طماعون، ولا سكيرون، ولا شتامون، ولا خاطفون يرثون ملكوت الله. وهكذا كان أناس منكم. لكن اغتسلتم، بل تقدستم، بل تبررتم باسم الرب يسوع وبروح إلهنا» (1 كورنثوس 6:9-11، بحسب صياغة النص المقتبس في الكتيب).</w:t>
      </w:r>
    </w:p>
    <w:p>
      <w:pPr>
        <w:spacing w:after="80" w:line="250" w:lineRule="auto"/>
        <w:jc w:val="right"/>
        <w:bidi w:val="1"/>
      </w:pPr>
      <w:r>
        <w:rPr>
          <w:rFonts w:ascii="Noto Naskh Arabic" w:hAnsi="Noto Naskh Arabic" w:cs="Noto Naskh Arabic" w:eastAsia="Noto Naskh Arabic"/>
          <w:b w:val="0"/>
          <w:sz w:val="21"/>
        </w:rPr>
        <w:t>يشدد بولس مرة أخرى على عبارة «لا تضلوا». وفي فهم الكتيب هناك أنماط مستمرة من السلوك لا تنسجم مع الحياة التي يدعو إليها الله.</w:t>
      </w:r>
    </w:p>
    <w:p>
      <w:pPr>
        <w:spacing w:after="80" w:line="250" w:lineRule="auto"/>
        <w:jc w:val="right"/>
        <w:bidi w:val="1"/>
      </w:pPr>
      <w:r>
        <w:rPr>
          <w:rFonts w:ascii="Noto Naskh Arabic" w:hAnsi="Noto Naskh Arabic" w:cs="Noto Naskh Arabic" w:eastAsia="Noto Naskh Arabic"/>
          <w:b w:val="0"/>
          <w:sz w:val="21"/>
        </w:rPr>
        <w:t>ويذكر المؤلف أن عالم القرن الأول، في خلفية الوثنية الرومانية واليونانية، عرف طيفاً واسعاً من الممارسات الجنسية. وكان الرجال والنساء، بل وحتى الأطفال أحياناً، يتعرضون للاستغلال أو يشاركون في أنماط مختلفة من العلاقات الجنسية. وكان بعض الأباطرة الرومان معروفين بإفراطهم الجنسي، بما في ذلك العلاقات المثلية.</w:t>
      </w:r>
    </w:p>
    <w:p>
      <w:pPr>
        <w:spacing w:after="80" w:line="250" w:lineRule="auto"/>
        <w:jc w:val="right"/>
        <w:bidi w:val="1"/>
      </w:pPr>
      <w:r>
        <w:rPr>
          <w:rFonts w:ascii="Noto Naskh Arabic" w:hAnsi="Noto Naskh Arabic" w:cs="Noto Naskh Arabic" w:eastAsia="Noto Naskh Arabic"/>
          <w:b w:val="0"/>
          <w:sz w:val="21"/>
        </w:rPr>
        <w:t>لكن النقطة التي يبرزها النص في 1 كورنثوس هي عبارة «وهكذا كان أناس منكم». فالكتيب يفهم منها أن بعض المؤمنين في كورنثوس كانت حياتهم السابقة تشمل ممارسات يرفضها بولس، ثم تركوها عندما قبلوا الإنجيل. ومن ثم يرى أن التوبة والمعمودية يمكن أن تمحوا الماضي، لكن نمط الحياة الذي يُصر الإنسان على الاستمرار فيه من دون توبة يوضع في قائمة الأمور التي يقول بولس إنها لا تنسجم مع وراثة ملكوت الله.</w:t>
      </w:r>
    </w:p>
    <w:p>
      <w:pPr>
        <w:spacing w:after="80" w:line="250" w:lineRule="auto"/>
        <w:jc w:val="right"/>
        <w:bidi w:val="1"/>
      </w:pPr>
      <w:r>
        <w:rPr>
          <w:rFonts w:ascii="Noto Naskh Arabic" w:hAnsi="Noto Naskh Arabic" w:cs="Noto Naskh Arabic" w:eastAsia="Noto Naskh Arabic"/>
          <w:b w:val="0"/>
          <w:sz w:val="21"/>
        </w:rPr>
        <w:t>ويربط الكاتب ذلك بأمر «لبس الإنسان الجديد» والعيش بحسب مثال المسيح (كولوسي 3:10). وهو يذكر أن التركيز هنا على المثلية لأن هذا هو موضوع الكتيب، لكنه يؤكد أن القائمة لا تخص المثلية وحدها؛ فجميع السلوكيات الأخرى المذكورة، مثل الزنى والطمع والسكر والسرقة، تُعامل في النص بالطريقة نفسها.</w:t>
      </w:r>
    </w:p>
    <w:p>
      <w:pPr>
        <w:spacing w:before="140" w:after="40"/>
        <w:jc w:val="right"/>
        <w:bidi w:val="1"/>
        <w:keepNext/>
      </w:pPr>
      <w:r>
        <w:rPr>
          <w:rFonts w:ascii="Noto Naskh Arabic" w:hAnsi="Noto Naskh Arabic" w:cs="Noto Naskh Arabic" w:eastAsia="Noto Naskh Arabic"/>
          <w:b/>
          <w:sz w:val="28"/>
        </w:rPr>
        <w:t>لماذا تُرفض الممارسة المثلية في تعليم الكتاب؟</w:t>
      </w:r>
    </w:p>
    <w:p>
      <w:pPr>
        <w:spacing w:after="80" w:line="250" w:lineRule="auto"/>
        <w:jc w:val="right"/>
        <w:bidi w:val="1"/>
      </w:pPr>
      <w:r>
        <w:rPr>
          <w:rFonts w:ascii="Noto Naskh Arabic" w:hAnsi="Noto Naskh Arabic" w:cs="Noto Naskh Arabic" w:eastAsia="Noto Naskh Arabic"/>
          <w:b w:val="0"/>
          <w:sz w:val="21"/>
        </w:rPr>
        <w:t>يقول الكتيب إنه لا يراها مقبولة في نصوص العهد القديم ولا العهد الجديد. ففي الأصحاح الذي يجمع مجموعة من القوانين الجنسية، ومنها الزنى وسفاح القربى ومجامعة الحيوان، تقول الشريعة: «ولا تضاجع ذكراً مضاجعة امرأة. إنه رجس» (لاويين 18:22). وبعد ذلك بقليل: «لا تتنجسوا بشيء من هذه، لأنه بكل هذه قد تنجس الشعوب الذين أنا طاردهم من أمامكم» (لاويين 18:24).</w:t>
      </w:r>
    </w:p>
    <w:p>
      <w:pPr>
        <w:spacing w:after="80" w:line="250" w:lineRule="auto"/>
        <w:jc w:val="right"/>
        <w:bidi w:val="1"/>
      </w:pPr>
      <w:r>
        <w:rPr>
          <w:rFonts w:ascii="Noto Naskh Arabic" w:hAnsi="Noto Naskh Arabic" w:cs="Noto Naskh Arabic" w:eastAsia="Noto Naskh Arabic"/>
          <w:b w:val="0"/>
          <w:sz w:val="21"/>
        </w:rPr>
        <w:t>وقد قيل إن شعوب كنعان مارست علاقات جنسية معينة في إطار العبادة الوثنية فقط، وأن الشريعة كانت تستهدف الدعارة الدينية. يقر الكتيب بوجود الدعارة الدينية من الرجال والنساء في بعض الطقوس الكنعانية، لكنه يذهب إلى أن الممارسات المثلية لم تكن محصورة في العبادة.</w:t>
      </w:r>
    </w:p>
    <w:p>
      <w:pPr>
        <w:spacing w:after="80" w:line="250" w:lineRule="auto"/>
        <w:jc w:val="right"/>
        <w:bidi w:val="1"/>
      </w:pPr>
      <w:r>
        <w:rPr>
          <w:rFonts w:ascii="Noto Naskh Arabic" w:hAnsi="Noto Naskh Arabic" w:cs="Noto Naskh Arabic" w:eastAsia="Noto Naskh Arabic"/>
          <w:b w:val="0"/>
          <w:sz w:val="21"/>
        </w:rPr>
        <w:t>ويستشهد بقصة سدوم في تكوين 19، حيث هدد رجال المدينة الزائرين باعتداء جنسي، ويربط ذلك بقول حزقيال إن خطية سدوم تضمنت «رجساً» (حزقيال 16:50). ويشير إلى أن كلمة «sodomy» الإنجليزية اشتقت تاريخياً من اسم سدوم.</w:t>
      </w:r>
    </w:p>
    <w:p>
      <w:pPr>
        <w:spacing w:after="80" w:line="250" w:lineRule="auto"/>
        <w:jc w:val="right"/>
        <w:bidi w:val="1"/>
      </w:pPr>
      <w:r>
        <w:rPr>
          <w:rFonts w:ascii="Noto Naskh Arabic" w:hAnsi="Noto Naskh Arabic" w:cs="Noto Naskh Arabic" w:eastAsia="Noto Naskh Arabic"/>
          <w:b w:val="0"/>
          <w:sz w:val="21"/>
        </w:rPr>
        <w:t>ثم يذكر حادثة مشابهة في قضاة 19، حيث هدد رجال جبعة في بنيامين رجلاً زائراً باعتداء جنسي، ويصفهم النص بأنهم «بنو بليعال» أو رجال فاسدون (قضاة 19:22). ويذكر أن تلك الفترة توصف بعبارة: «كل واحد عمل ما حسن في عينيه» (قضاة 21:25).</w:t>
      </w:r>
    </w:p>
    <w:p>
      <w:pPr>
        <w:spacing w:after="80" w:line="250" w:lineRule="auto"/>
        <w:jc w:val="right"/>
        <w:bidi w:val="1"/>
      </w:pPr>
      <w:r>
        <w:rPr>
          <w:rFonts w:ascii="Noto Naskh Arabic" w:hAnsi="Noto Naskh Arabic" w:cs="Noto Naskh Arabic" w:eastAsia="Noto Naskh Arabic"/>
          <w:b w:val="0"/>
          <w:sz w:val="21"/>
        </w:rPr>
        <w:t>ويرى الكاتب أن هذين المثالين لا يرتبطان بطقس ديني معين، ولذلك يستخدمهما ليدلل على أن السلوك المذكور كان موجوداً في المجتمع بوجه أوسع. ثم يستشهد بما حدث في عهد ملوك يهوذا، حيث يذكر 1 ملوك 14:24 وجود رجال يمارسون علاقات محرمة في الأرض «وعملوا حسب كل أرجاس الأمم».</w:t>
      </w:r>
    </w:p>
    <w:p>
      <w:pPr>
        <w:spacing w:after="80" w:line="250" w:lineRule="auto"/>
        <w:jc w:val="right"/>
        <w:bidi w:val="1"/>
      </w:pPr>
      <w:r>
        <w:rPr>
          <w:rFonts w:ascii="Noto Naskh Arabic" w:hAnsi="Noto Naskh Arabic" w:cs="Noto Naskh Arabic" w:eastAsia="Noto Naskh Arabic"/>
          <w:b w:val="0"/>
          <w:sz w:val="21"/>
        </w:rPr>
        <w:t>ويستنتج الكتيب أن الشريعة لم تعتبر هذه الممارسات مجرد مسألة خاصة، بل صنفتها مع سلوكيات جنسية أخرى بوصفها نجاسة. ويشير أيضاً إلى الحكم الصارم في شريعة إسرائيل القديمة: «وإذا اضطجع رجل مع ذكر اضطجاع امرأة فقد فعلا كلاهما رجساً. إنهما يُقتلان» (لاويين 20:13).</w:t>
      </w:r>
    </w:p>
    <w:p>
      <w:pPr>
        <w:spacing w:after="80" w:line="250" w:lineRule="auto"/>
        <w:jc w:val="right"/>
        <w:bidi w:val="1"/>
      </w:pPr>
      <w:r>
        <w:rPr>
          <w:rFonts w:ascii="Noto Naskh Arabic" w:hAnsi="Noto Naskh Arabic" w:cs="Noto Naskh Arabic" w:eastAsia="Noto Naskh Arabic"/>
          <w:b w:val="0"/>
          <w:sz w:val="21"/>
        </w:rPr>
        <w:t>ثم يسأل عن السبب الذي يراه الكتاب وراء ذلك. والجواب الذي يقدمه المؤلف يبدأ من ترتيب الخلق. فبحسب تكوين 1-2 خُلقت الحيوانات لتكون ضمن العالم الذي وُضع الإنسان فيه، لكن «لم يوجد معين نظيره» لآدم بين الحيوانات (تكوين 2:18،20). ثم خُلقت المرأة لتكون شريكته، وأكد يسوع ذلك عندما قال للفريسيين: «أما قرأتم أن الذي خلق من البدء خلقهما ذكراً وأنثى؟ وقال: من أجل هذا يترك الرجل أباه وأمه ويلتصق بامرأته ويكون الاثنان جسداً واحداً» (متى 19:4-5، مقتبساً تكوين 2:24).</w:t>
      </w:r>
    </w:p>
    <w:p>
      <w:pPr>
        <w:spacing w:before="140" w:after="40"/>
        <w:jc w:val="right"/>
        <w:bidi w:val="1"/>
        <w:keepNext/>
      </w:pPr>
      <w:r>
        <w:rPr>
          <w:rFonts w:ascii="Noto Naskh Arabic" w:hAnsi="Noto Naskh Arabic" w:cs="Noto Naskh Arabic" w:eastAsia="Noto Naskh Arabic"/>
          <w:b/>
          <w:sz w:val="28"/>
        </w:rPr>
        <w:t>الزواج — ترتيب إلهي</w:t>
      </w:r>
    </w:p>
    <w:p>
      <w:pPr>
        <w:spacing w:after="80" w:line="250" w:lineRule="auto"/>
        <w:jc w:val="right"/>
        <w:bidi w:val="1"/>
      </w:pPr>
      <w:r>
        <w:rPr>
          <w:rFonts w:ascii="Noto Naskh Arabic" w:hAnsi="Noto Naskh Arabic" w:cs="Noto Naskh Arabic" w:eastAsia="Noto Naskh Arabic"/>
          <w:b w:val="0"/>
          <w:sz w:val="21"/>
        </w:rPr>
        <w:t>يقول الكتيب إن العلاقة بين الرجل والمرأة في الزواج ليست في الكتاب مجرد عرف اجتماعي، بل ترتيب من الله. ومن هذا المنطلق يرى أن العلاقات الجنسية تُحصر في اتحاد «جسد واحد» بين رجل وامرأة، وأن الزنى والعلاقات الجنسية خارج هذا الاتحاد تخالف ذلك الترتيب.</w:t>
      </w:r>
    </w:p>
    <w:p>
      <w:pPr>
        <w:spacing w:after="80" w:line="250" w:lineRule="auto"/>
        <w:jc w:val="right"/>
        <w:bidi w:val="1"/>
      </w:pPr>
      <w:r>
        <w:rPr>
          <w:rFonts w:ascii="Noto Naskh Arabic" w:hAnsi="Noto Naskh Arabic" w:cs="Noto Naskh Arabic" w:eastAsia="Noto Naskh Arabic"/>
          <w:b w:val="0"/>
          <w:sz w:val="21"/>
        </w:rPr>
        <w:t>ويضيف أن العلاقة الزوجية ليست جسدية فقط، لأن تكوين 2 يصف الحاجة إلى «معين نظيره»، أي شراكة إنسانية لا توفرها بقية المخلوقات.</w:t>
      </w:r>
    </w:p>
    <w:p>
      <w:pPr>
        <w:spacing w:after="80" w:line="250" w:lineRule="auto"/>
        <w:jc w:val="right"/>
        <w:bidi w:val="1"/>
      </w:pPr>
      <w:r>
        <w:rPr>
          <w:rFonts w:ascii="Noto Naskh Arabic" w:hAnsi="Noto Naskh Arabic" w:cs="Noto Naskh Arabic" w:eastAsia="Noto Naskh Arabic"/>
          <w:b w:val="0"/>
          <w:sz w:val="21"/>
        </w:rPr>
        <w:t>كما يذكر أن حديث العهد الجديد عن المثلية لا يقتصر على الرجال. ففي رومية 1 يكتب بولس عن «إناث استبدلن الاستعمال الطبيعي بالذي على خلاف الطبيعة» (رومية 1:26). ولذلك يستخدم الكتيب كلمة «المثلية» لتشمل العلاقات بين الرجال وبين النساء.</w:t>
      </w:r>
    </w:p>
    <w:p>
      <w:pPr>
        <w:spacing w:after="80" w:line="250" w:lineRule="auto"/>
        <w:jc w:val="right"/>
        <w:bidi w:val="1"/>
      </w:pPr>
      <w:r>
        <w:rPr>
          <w:rFonts w:ascii="Noto Naskh Arabic" w:hAnsi="Noto Naskh Arabic" w:cs="Noto Naskh Arabic" w:eastAsia="Noto Naskh Arabic"/>
          <w:b w:val="0"/>
          <w:sz w:val="21"/>
        </w:rPr>
        <w:t>ويستند الكاتب إلى تعبير «خلاف الطبيعة» ليرى أن الجسد البشري، في فهمه، مهيأ لعلاقة الرجل والمرأة. ثم يربط ذلك بمخاطر الأمراض المنقولة جنسياً، ويضع الممارسة المثلية والممارسات الجنسية غير المنضبطة بين الرجل والمرأة معاً ضمن سلوكيات يقول إنها قد تحمل عواقب جسدية.</w:t>
      </w:r>
    </w:p>
    <w:p>
      <w:pPr>
        <w:spacing w:after="80" w:line="250" w:lineRule="auto"/>
        <w:jc w:val="right"/>
        <w:bidi w:val="1"/>
      </w:pPr>
      <w:r>
        <w:rPr>
          <w:rFonts w:ascii="Noto Naskh Arabic" w:hAnsi="Noto Naskh Arabic" w:cs="Noto Naskh Arabic" w:eastAsia="Noto Naskh Arabic"/>
          <w:b w:val="0"/>
          <w:sz w:val="21"/>
        </w:rPr>
        <w:t>ويرجع الكاتب مرة أخرى إلى رواية الخلق ليقول إن الزنى وسفاح القربى ومجامعة الحيوان والممارسة المثلية تُعرض في شريعة إسرائيل على أنها خروج عن الترتيبات التي وضعها الله. ويقارن ذلك بمعصية آدم وحواء، حيث لم يقبلا حد الله فأكلا من الشجرة، ثم واجها حكم الموت (تكوين 3:17-19).</w:t>
      </w:r>
    </w:p>
    <w:p>
      <w:pPr>
        <w:spacing w:after="80" w:line="250" w:lineRule="auto"/>
        <w:jc w:val="right"/>
        <w:bidi w:val="1"/>
      </w:pPr>
      <w:r>
        <w:rPr>
          <w:rFonts w:ascii="Noto Naskh Arabic" w:hAnsi="Noto Naskh Arabic" w:cs="Noto Naskh Arabic" w:eastAsia="Noto Naskh Arabic"/>
          <w:b w:val="0"/>
          <w:sz w:val="21"/>
        </w:rPr>
        <w:t>ويشير إلى أن شريعة إسرائيل القديمة فرضت عقوبة الموت على عدد من المخالفات الجنسية، منها الزنى (لاويين 20:10)، وبعض علاقات سفاح القربى (الآيتان 11-12)، والممارسة المثلية بين الرجال (الآية 13)، ومجامعة الحيوان (الآية 15).</w:t>
      </w:r>
    </w:p>
    <w:p>
      <w:pPr>
        <w:spacing w:before="140" w:after="40"/>
        <w:jc w:val="right"/>
        <w:bidi w:val="1"/>
        <w:keepNext/>
      </w:pPr>
      <w:r>
        <w:rPr>
          <w:rFonts w:ascii="Noto Naskh Arabic" w:hAnsi="Noto Naskh Arabic" w:cs="Noto Naskh Arabic" w:eastAsia="Noto Naskh Arabic"/>
          <w:b/>
          <w:sz w:val="28"/>
        </w:rPr>
        <w:t>سبب أعمق</w:t>
      </w:r>
    </w:p>
    <w:p>
      <w:pPr>
        <w:spacing w:after="80" w:line="250" w:lineRule="auto"/>
        <w:jc w:val="right"/>
        <w:bidi w:val="1"/>
      </w:pPr>
      <w:r>
        <w:rPr>
          <w:rFonts w:ascii="Noto Naskh Arabic" w:hAnsi="Noto Naskh Arabic" w:cs="Noto Naskh Arabic" w:eastAsia="Noto Naskh Arabic"/>
          <w:b w:val="0"/>
          <w:sz w:val="21"/>
        </w:rPr>
        <w:t>عندما يعلق العهد الجديد على العلاقات التي يراها الكتاب صحيحة، يقدم بولس سبباً أعمق. فهو، مثل يسوع، يقتبس تكوين 2:24: «من أجل هذا يترك الرجل أباه وأمه ويلتصق بامرأته ويكون الاثنان جسداً واحداً»، ثم يقول: «هذا السر عظيم، ولكنني أنا أقول من نحو المسيح والكنيسة» (أفسس 5:31-32).</w:t>
      </w:r>
    </w:p>
    <w:p>
      <w:pPr>
        <w:spacing w:after="80" w:line="250" w:lineRule="auto"/>
        <w:jc w:val="right"/>
        <w:bidi w:val="1"/>
      </w:pPr>
      <w:r>
        <w:rPr>
          <w:rFonts w:ascii="Noto Naskh Arabic" w:hAnsi="Noto Naskh Arabic" w:cs="Noto Naskh Arabic" w:eastAsia="Noto Naskh Arabic"/>
          <w:b w:val="0"/>
          <w:sz w:val="21"/>
        </w:rPr>
        <w:t>ويفهم الكتيب من ذلك أن للزواج أيضاً قيمة رمزية دينية. فالكنيسة في الكتاب هي جماعة المؤمنين الأمناء. وقد كتب بولس إلى «كنيسة الله التي في كورنثوس» حين تحدث عن أنماط الحياة التي، في رأيه، لا تنسجم مع ملكوت الله.</w:t>
      </w:r>
    </w:p>
    <w:p>
      <w:pPr>
        <w:spacing w:after="80" w:line="250" w:lineRule="auto"/>
        <w:jc w:val="right"/>
        <w:bidi w:val="1"/>
      </w:pPr>
      <w:r>
        <w:rPr>
          <w:rFonts w:ascii="Noto Naskh Arabic" w:hAnsi="Noto Naskh Arabic" w:cs="Noto Naskh Arabic" w:eastAsia="Noto Naskh Arabic"/>
          <w:b w:val="0"/>
          <w:sz w:val="21"/>
        </w:rPr>
        <w:t>ويؤكد المؤلف أن الكنيسة نفسها ليست ملكوت الله، لكنه يربط النهاية الموعودة بصورة «عشاء عرس الخروف» (رؤيا 19:9)، أي اتحاد المسيح وجماعته. وبذلك يرى في الزواج بين الرجل والمرأة صورة رمزية للعلاقة بين المسيح والكنيسة.</w:t>
      </w:r>
    </w:p>
    <w:p>
      <w:pPr>
        <w:spacing w:after="80" w:line="250" w:lineRule="auto"/>
        <w:jc w:val="right"/>
        <w:bidi w:val="1"/>
      </w:pPr>
      <w:r>
        <w:rPr>
          <w:rFonts w:ascii="Noto Naskh Arabic" w:hAnsi="Noto Naskh Arabic" w:cs="Noto Naskh Arabic" w:eastAsia="Noto Naskh Arabic"/>
          <w:b w:val="0"/>
          <w:sz w:val="21"/>
        </w:rPr>
        <w:t>ويلاحظ الكتيب فرقاً بين شريعة إسرائيل وتعليم العهد الجديد. ففي الشريعة كانت بعض المخالفات تُعاقب بالموت داخل النظام القومي لإسرائيل. أما في العهد الجديد فلا تُطلب من الكنيسة إقامة تلك العقوبات، بل يضع بولس القضية في إطار وراثة الملكوت. ويرى المؤلف أن النتيجة النهائية في منظوره اللاهوتي واحدة: الحياة الأبدية تُمنح في الملكوت، والحرمان النهائي منها يعني الموت.</w:t>
      </w:r>
    </w:p>
    <w:p>
      <w:pPr>
        <w:spacing w:before="140" w:after="40"/>
        <w:jc w:val="right"/>
        <w:bidi w:val="1"/>
        <w:keepNext/>
      </w:pPr>
      <w:r>
        <w:rPr>
          <w:rFonts w:ascii="Noto Naskh Arabic" w:hAnsi="Noto Naskh Arabic" w:cs="Noto Naskh Arabic" w:eastAsia="Noto Naskh Arabic"/>
          <w:b/>
          <w:sz w:val="28"/>
        </w:rPr>
        <w:t>تعليم قاسٍ؟</w:t>
      </w:r>
    </w:p>
    <w:p>
      <w:pPr>
        <w:spacing w:after="80" w:line="250" w:lineRule="auto"/>
        <w:jc w:val="right"/>
        <w:bidi w:val="1"/>
      </w:pPr>
      <w:r>
        <w:rPr>
          <w:rFonts w:ascii="Noto Naskh Arabic" w:hAnsi="Noto Naskh Arabic" w:cs="Noto Naskh Arabic" w:eastAsia="Noto Naskh Arabic"/>
          <w:b w:val="0"/>
          <w:sz w:val="21"/>
        </w:rPr>
        <w:t>يعترف الكتيب بأن هذا التعليم يبدو قاسياً لكثيرين، ولا سيما في مجتمع يصر على عدم التمييز ضد الناس بسبب العرق أو اللون أو العقيدة أو التوجه الجنسي. ويزداد الاعتراض عندما يُقال إن بعض الناس يجدون في أنفسهم ميولاً مثلية لا يشعرون أنهم اختاروها.</w:t>
      </w:r>
    </w:p>
    <w:p>
      <w:pPr>
        <w:spacing w:after="80" w:line="250" w:lineRule="auto"/>
        <w:jc w:val="right"/>
        <w:bidi w:val="1"/>
      </w:pPr>
      <w:r>
        <w:rPr>
          <w:rFonts w:ascii="Noto Naskh Arabic" w:hAnsi="Noto Naskh Arabic" w:cs="Noto Naskh Arabic" w:eastAsia="Noto Naskh Arabic"/>
          <w:b w:val="0"/>
          <w:sz w:val="21"/>
        </w:rPr>
        <w:t>ومن هنا ينشأ سؤال أخلاقي حقيقي: كيف يمكن مقارنة التوجه الجنسي بأمور لا يختارها الإنسان، مثل لون البشرة أو طول القامة؟ وإذا لم يختر الإنسان كيف وُلد، فهل يكون من العدل أن يُدان على ما لا يملك السيطرة عليه؟</w:t>
      </w:r>
    </w:p>
    <w:p>
      <w:pPr>
        <w:spacing w:after="80" w:line="250" w:lineRule="auto"/>
        <w:jc w:val="right"/>
        <w:bidi w:val="1"/>
      </w:pPr>
      <w:r>
        <w:rPr>
          <w:rFonts w:ascii="Noto Naskh Arabic" w:hAnsi="Noto Naskh Arabic" w:cs="Noto Naskh Arabic" w:eastAsia="Noto Naskh Arabic"/>
          <w:b w:val="0"/>
          <w:sz w:val="21"/>
        </w:rPr>
        <w:t>ويقول المؤلف إن مثل هذه الأسئلة دفعت عدداً من رجال الكنائس إلى إعادة تفسير النصوص. فمنهم من يرى أن النصوص القديمة لا تنطبق بالطريقة نفسها على العالم الحديث، ومنهم من يفرق بين العلاقات المثلية المنفلتة وبين علاقة مثلية مستقرة ومحبة، ويعتبر الثانية مقبولة مثل الزواج بين الرجل والمرأة.</w:t>
      </w:r>
    </w:p>
    <w:p>
      <w:pPr>
        <w:spacing w:after="80" w:line="250" w:lineRule="auto"/>
        <w:jc w:val="right"/>
        <w:bidi w:val="1"/>
      </w:pPr>
      <w:r>
        <w:rPr>
          <w:rFonts w:ascii="Noto Naskh Arabic" w:hAnsi="Noto Naskh Arabic" w:cs="Noto Naskh Arabic" w:eastAsia="Noto Naskh Arabic"/>
          <w:b w:val="0"/>
          <w:sz w:val="21"/>
        </w:rPr>
        <w:t>لكن الكاتب لا يقبل هذا الاستنتاج لأنه يبدأ من فرضية أن أوامر الله لا يمكن إلغاؤها لمجرد تغير المجتمع. ولذلك ينتقل إلى السؤال الذي يراه حاسماً: هل يولد الإنسان مثلياً؟</w:t>
      </w:r>
    </w:p>
    <w:p>
      <w:pPr>
        <w:spacing w:before="140" w:after="40"/>
        <w:jc w:val="right"/>
        <w:bidi w:val="1"/>
        <w:keepNext/>
      </w:pPr>
      <w:r>
        <w:rPr>
          <w:rFonts w:ascii="Noto Naskh Arabic" w:hAnsi="Noto Naskh Arabic" w:cs="Noto Naskh Arabic" w:eastAsia="Noto Naskh Arabic"/>
          <w:b/>
          <w:sz w:val="28"/>
        </w:rPr>
        <w:t>هل يولد بعض الأشخاص مثليين؟</w:t>
      </w:r>
    </w:p>
    <w:p>
      <w:pPr>
        <w:spacing w:after="80" w:line="250" w:lineRule="auto"/>
        <w:jc w:val="right"/>
        <w:bidi w:val="1"/>
      </w:pPr>
      <w:r>
        <w:rPr>
          <w:rFonts w:ascii="Noto Naskh Arabic" w:hAnsi="Noto Naskh Arabic" w:cs="Noto Naskh Arabic" w:eastAsia="Noto Naskh Arabic"/>
          <w:b w:val="0"/>
          <w:sz w:val="21"/>
        </w:rPr>
        <w:t>يعكس هذا القسم المعرفة والآراء العلمية المتاحة وقت كتابة الكتيب. ويقول المؤلف إنه، بحسب ما كان يراه من الأبحاث في ذلك الوقت، لم يكن هناك برهان قاطع يثبت أن بعض الأشخاص يولدون بميل مثلي محدد سلفاً، وكان يميل إلى تفسير السلوك المثلي بأنه مكتسب لا غريزي.</w:t>
      </w:r>
    </w:p>
    <w:p>
      <w:pPr>
        <w:spacing w:after="80" w:line="250" w:lineRule="auto"/>
        <w:jc w:val="right"/>
        <w:bidi w:val="1"/>
      </w:pPr>
      <w:r>
        <w:rPr>
          <w:rFonts w:ascii="Noto Naskh Arabic" w:hAnsi="Noto Naskh Arabic" w:cs="Noto Naskh Arabic" w:eastAsia="Noto Naskh Arabic"/>
          <w:b w:val="0"/>
          <w:sz w:val="21"/>
        </w:rPr>
        <w:t>ويستعمل الكتيب أمثلة من الحيوانات، قائلاً إن سلوكاً بين أفراد من الجنس نفسه قد يظهر أحياناً في ظروف غير عادية، ثم يربطه بتدخل الإنسان أو بفصل الذكور والإناث. كما يشير إلى بيئات بشرية يفصل فيها الجنسان فترات طويلة، مثل بعض المدارس الداخلية أو القوات المسلحة أو السجون، ويقول إن سلوكاً مثلياً قد يظهر في هذه الظروف ثم يتوقف عند تغيرها.</w:t>
      </w:r>
    </w:p>
    <w:p>
      <w:pPr>
        <w:spacing w:after="80" w:line="250" w:lineRule="auto"/>
        <w:jc w:val="right"/>
        <w:bidi w:val="1"/>
      </w:pPr>
      <w:r>
        <w:rPr>
          <w:rFonts w:ascii="Noto Naskh Arabic" w:hAnsi="Noto Naskh Arabic" w:cs="Noto Naskh Arabic" w:eastAsia="Noto Naskh Arabic"/>
          <w:b w:val="0"/>
          <w:sz w:val="21"/>
        </w:rPr>
        <w:t>ويربط المؤلف أيضاً نمو المثلية، في فهمه، بعوامل بيئية وثقافية مثل تفكك الأسرة، لكنه يقول إن هذه العوامل لا تثبت، في رأيه، أن الإنسان «مبرمج» منذ الولادة ليكون مثلياً.</w:t>
      </w:r>
    </w:p>
    <w:p>
      <w:pPr>
        <w:spacing w:after="80" w:line="250" w:lineRule="auto"/>
        <w:jc w:val="right"/>
        <w:bidi w:val="1"/>
      </w:pPr>
      <w:r>
        <w:rPr>
          <w:rFonts w:ascii="Noto Naskh Arabic" w:hAnsi="Noto Naskh Arabic" w:cs="Noto Naskh Arabic" w:eastAsia="Noto Naskh Arabic"/>
          <w:b w:val="0"/>
          <w:sz w:val="21"/>
        </w:rPr>
        <w:t>ثم يفرق بين الإنسان والحيوان من زاوية أخلاقية ولاهوتية: فالحيوان يعمل إلى حد بعيد بالغريزة، أما الإنسان، بحسب الكتاب، فقد أُعطي قدرة على اتخاذ قرارات أخلاقية وعلى اختيار سلوكه في ضوء توجيه الله.</w:t>
      </w:r>
    </w:p>
    <w:p>
      <w:pPr>
        <w:spacing w:after="80" w:line="250" w:lineRule="auto"/>
        <w:jc w:val="right"/>
        <w:bidi w:val="1"/>
      </w:pPr>
      <w:r>
        <w:rPr>
          <w:rFonts w:ascii="Noto Naskh Arabic" w:hAnsi="Noto Naskh Arabic" w:cs="Noto Naskh Arabic" w:eastAsia="Noto Naskh Arabic"/>
          <w:b w:val="0"/>
          <w:sz w:val="21"/>
        </w:rPr>
        <w:t>وهذه الفقرة تعكس حجة الكتيب التاريخية، لا تقريراً حديثاً مستقلاً عن علم التوجه الجنسي.</w:t>
      </w:r>
    </w:p>
    <w:p>
      <w:pPr>
        <w:spacing w:before="140" w:after="40"/>
        <w:jc w:val="right"/>
        <w:bidi w:val="1"/>
        <w:keepNext/>
      </w:pPr>
      <w:r>
        <w:rPr>
          <w:rFonts w:ascii="Noto Naskh Arabic" w:hAnsi="Noto Naskh Arabic" w:cs="Noto Naskh Arabic" w:eastAsia="Noto Naskh Arabic"/>
          <w:b/>
          <w:sz w:val="28"/>
        </w:rPr>
        <w:t>الميول المثلية</w:t>
      </w:r>
    </w:p>
    <w:p>
      <w:pPr>
        <w:spacing w:after="80" w:line="250" w:lineRule="auto"/>
        <w:jc w:val="right"/>
        <w:bidi w:val="1"/>
      </w:pPr>
      <w:r>
        <w:rPr>
          <w:rFonts w:ascii="Noto Naskh Arabic" w:hAnsi="Noto Naskh Arabic" w:cs="Noto Naskh Arabic" w:eastAsia="Noto Naskh Arabic"/>
          <w:b w:val="0"/>
          <w:sz w:val="21"/>
        </w:rPr>
        <w:t>بعد ذلك يسأل الكتيب عن الميول نفسها: إذا شعر شخص بميل أو إغراء، فهل يساوي ذلك الممارسة؟</w:t>
      </w:r>
    </w:p>
    <w:p>
      <w:pPr>
        <w:spacing w:after="80" w:line="250" w:lineRule="auto"/>
        <w:jc w:val="right"/>
        <w:bidi w:val="1"/>
      </w:pPr>
      <w:r>
        <w:rPr>
          <w:rFonts w:ascii="Noto Naskh Arabic" w:hAnsi="Noto Naskh Arabic" w:cs="Noto Naskh Arabic" w:eastAsia="Noto Naskh Arabic"/>
          <w:b w:val="0"/>
          <w:sz w:val="21"/>
        </w:rPr>
        <w:t>يستند الكاتب إلى تعليم يسوع عن الزنى. فقد قال يسوع إن الشريعة تتعامل مع فعل الزنى، لكنه أضاف أن النظرة المتعمدة المصحوبة بالشهوة ينبغي أن تُقطع من أصلها: «كل من ينظر إلى امرأة ليشتهيها فقد زنى بها في قلبه» (متى 5:27-28).</w:t>
      </w:r>
    </w:p>
    <w:p>
      <w:pPr>
        <w:spacing w:after="80" w:line="250" w:lineRule="auto"/>
        <w:jc w:val="right"/>
        <w:bidi w:val="1"/>
      </w:pPr>
      <w:r>
        <w:rPr>
          <w:rFonts w:ascii="Noto Naskh Arabic" w:hAnsi="Noto Naskh Arabic" w:cs="Noto Naskh Arabic" w:eastAsia="Noto Naskh Arabic"/>
          <w:b w:val="0"/>
          <w:sz w:val="21"/>
        </w:rPr>
        <w:t>ولا يفهم المؤلف هذا النص على أن ملاحظة شخص آخر أو حدوث فكرة عابرة هو الخطية نفسها، بل يفرق بين التجربة وبين تغذية التجربة بقصد الفعل. ويقارن ذلك بكلام يعقوب عن الشهوة التي «إذا حبلت تلد خطية» (يعقوب 1:15).</w:t>
      </w:r>
    </w:p>
    <w:p>
      <w:pPr>
        <w:spacing w:after="80" w:line="250" w:lineRule="auto"/>
        <w:jc w:val="right"/>
        <w:bidi w:val="1"/>
      </w:pPr>
      <w:r>
        <w:rPr>
          <w:rFonts w:ascii="Noto Naskh Arabic" w:hAnsi="Noto Naskh Arabic" w:cs="Noto Naskh Arabic" w:eastAsia="Noto Naskh Arabic"/>
          <w:b w:val="0"/>
          <w:sz w:val="21"/>
        </w:rPr>
        <w:t>ويشير أيضاً إلى قول بولس: «اهربوا من الزنى» (1 كورنثوس 6:18)، ويستخلص أن المؤمن ينبغي ألا يسمح لعقله أن يسترسل في رغبات جنسية يراها الكتاب غير مشروعة، سواء كانت مغايرة أو مثلية.</w:t>
      </w:r>
    </w:p>
    <w:p>
      <w:pPr>
        <w:spacing w:after="80" w:line="250" w:lineRule="auto"/>
        <w:jc w:val="right"/>
        <w:bidi w:val="1"/>
      </w:pPr>
      <w:r>
        <w:rPr>
          <w:rFonts w:ascii="Noto Naskh Arabic" w:hAnsi="Noto Naskh Arabic" w:cs="Noto Naskh Arabic" w:eastAsia="Noto Naskh Arabic"/>
          <w:b w:val="0"/>
          <w:sz w:val="21"/>
        </w:rPr>
        <w:t>ولشرح المبدأ بصورة أوسع، يعود إلى قوائم السلوكيات التي يدعو العهد الجديد المؤمن إلى تركها. فكل إنسان لديه ميول أو نقاط ضعف من نوع ما، وبعضها قد يقوده إلى أفعال تضر به أو بالآخرين. ويضرب مثالاً بالرغبة في الكحول؛ فالشخص قد يشعر بانجذاب قوي إليه، وإذا لم يضبط هذا الميل قد ينتهي به الأمر تحت سيطرته. والكحول مثال مناسب عند الكاتب لأنه قد يضر بالفرد وبالمجتمع.</w:t>
      </w:r>
    </w:p>
    <w:p>
      <w:pPr>
        <w:spacing w:after="80" w:line="250" w:lineRule="auto"/>
        <w:jc w:val="right"/>
        <w:bidi w:val="1"/>
      </w:pPr>
      <w:r>
        <w:rPr>
          <w:rFonts w:ascii="Noto Naskh Arabic" w:hAnsi="Noto Naskh Arabic" w:cs="Noto Naskh Arabic" w:eastAsia="Noto Naskh Arabic"/>
          <w:b w:val="0"/>
          <w:sz w:val="21"/>
        </w:rPr>
        <w:t>ويقول إن شريعة المسيح تدعو المؤمن إلى مقاومة كل ما يراه ضاراً أو مخالفاً لإرادة الله، وفي الوقت نفسه تقدم توجيهاً إيجابياً لما ينبغي أن يحل محله.</w:t>
      </w:r>
    </w:p>
    <w:p>
      <w:pPr>
        <w:spacing w:after="80" w:line="250" w:lineRule="auto"/>
        <w:jc w:val="right"/>
        <w:bidi w:val="1"/>
      </w:pPr>
      <w:r>
        <w:rPr>
          <w:rFonts w:ascii="Noto Naskh Arabic" w:hAnsi="Noto Naskh Arabic" w:cs="Noto Naskh Arabic" w:eastAsia="Noto Naskh Arabic"/>
          <w:b w:val="0"/>
          <w:sz w:val="21"/>
        </w:rPr>
        <w:t>ويقتبس من كولوسي 3: «اهتموا بما فوق لا بما على الأرض، لأنكم قد متم وحياتكم مستترة مع المسيح في الله. متى أُظهر المسيح حياتنا فحينئذ تظهرون أنتم أيضاً معه في المجد. فأميتوا أعضاءكم التي على الأرض: الزنى، النجاسة، الهوى، الشهوة الردية، والطمع الذي هو عبادة الأوثان. الأمور التي من أجلها يأتي غضب الله على أبناء المعصية» (كولوسي 3:2-6).</w:t>
      </w:r>
    </w:p>
    <w:p>
      <w:pPr>
        <w:spacing w:after="80" w:line="250" w:lineRule="auto"/>
        <w:jc w:val="right"/>
        <w:bidi w:val="1"/>
      </w:pPr>
      <w:r>
        <w:rPr>
          <w:rFonts w:ascii="Noto Naskh Arabic" w:hAnsi="Noto Naskh Arabic" w:cs="Noto Naskh Arabic" w:eastAsia="Noto Naskh Arabic"/>
          <w:b w:val="0"/>
          <w:sz w:val="21"/>
        </w:rPr>
        <w:t>وفي شريعة إسرائيل كان بعض السلوك يُعاقب بالموت؛ أما تحت تعليم المسيح فيطلب بولس من الإنسان أن «يميت» في نفسه ما يراه مخالفاً لوصايا الله. ويصف الكاتب ذلك مجازاً بأنه إعادة تشكيل للحياة على كلمة الله ومثال يسوع.</w:t>
      </w:r>
    </w:p>
    <w:p>
      <w:pPr>
        <w:spacing w:after="80" w:line="250" w:lineRule="auto"/>
        <w:jc w:val="right"/>
        <w:bidi w:val="1"/>
      </w:pPr>
      <w:r>
        <w:rPr>
          <w:rFonts w:ascii="Noto Naskh Arabic" w:hAnsi="Noto Naskh Arabic" w:cs="Noto Naskh Arabic" w:eastAsia="Noto Naskh Arabic"/>
          <w:b w:val="0"/>
          <w:sz w:val="21"/>
        </w:rPr>
        <w:t>ويضيف بولس: «وكل ما عملتم بقول أو فعل فاعملوا الكل باسم الرب يسوع، شاكرين الله والآب به» (كولوسي 3:17).</w:t>
      </w:r>
    </w:p>
    <w:p>
      <w:pPr>
        <w:spacing w:after="80" w:line="250" w:lineRule="auto"/>
        <w:jc w:val="right"/>
        <w:bidi w:val="1"/>
      </w:pPr>
      <w:r>
        <w:rPr>
          <w:rFonts w:ascii="Noto Naskh Arabic" w:hAnsi="Noto Naskh Arabic" w:cs="Noto Naskh Arabic" w:eastAsia="Noto Naskh Arabic"/>
          <w:b w:val="0"/>
          <w:sz w:val="21"/>
        </w:rPr>
        <w:t>ويؤكد الكتيب أن هذا المبدأ لا يخص شخصاً مثلياً وحده، بل يشمل كل إنسان وكل نوع من التجربة الأخلاقية. ثم يذكر وعد 1 كورنثوس 10:13 بأن الله «لا يدعكم تُجرَّبون فوق ما تستطيعون، بل سيجعل مع التجربة أيضاً المنفذ لتستطيعوا أن تحتملوا». ويرى أن هذا «المنفذ» يوجد في التعزية بكلمة الله وفي دعم المؤمنين بعضهم لبعض.</w:t>
      </w:r>
    </w:p>
    <w:p>
      <w:pPr>
        <w:spacing w:before="140" w:after="40"/>
        <w:jc w:val="right"/>
        <w:bidi w:val="1"/>
        <w:keepNext/>
      </w:pPr>
      <w:r>
        <w:rPr>
          <w:rFonts w:ascii="Noto Naskh Arabic" w:hAnsi="Noto Naskh Arabic" w:cs="Noto Naskh Arabic" w:eastAsia="Noto Naskh Arabic"/>
          <w:b/>
          <w:sz w:val="28"/>
        </w:rPr>
        <w:t>الانحدار في رمال الخطية</w:t>
      </w:r>
    </w:p>
    <w:p>
      <w:pPr>
        <w:spacing w:after="80" w:line="250" w:lineRule="auto"/>
        <w:jc w:val="right"/>
        <w:bidi w:val="1"/>
      </w:pPr>
      <w:r>
        <w:rPr>
          <w:rFonts w:ascii="Noto Naskh Arabic" w:hAnsi="Noto Naskh Arabic" w:cs="Noto Naskh Arabic" w:eastAsia="Noto Naskh Arabic"/>
          <w:b w:val="0"/>
          <w:sz w:val="21"/>
        </w:rPr>
        <w:t>يرى كولوسي 3 مسارين متقابلين: طريقة حياة قديمة ينبغي «خلعها»، وطريقة جديدة ينبغي «لبسها». ولتوضيح المسار الأول، ولا سيما في تطبيقه على موضوع الكتيب، ينتقل المؤلف إلى رومية 1:</w:t>
      </w:r>
    </w:p>
    <w:p>
      <w:pPr>
        <w:spacing w:after="80" w:line="250" w:lineRule="auto"/>
        <w:jc w:val="right"/>
        <w:bidi w:val="1"/>
      </w:pPr>
      <w:r>
        <w:rPr>
          <w:rFonts w:ascii="Noto Naskh Arabic" w:hAnsi="Noto Naskh Arabic" w:cs="Noto Naskh Arabic" w:eastAsia="Noto Naskh Arabic"/>
          <w:b w:val="0"/>
          <w:sz w:val="21"/>
        </w:rPr>
        <w:t>«لأن غضب الله معلن من السماء على جميع فجور الناس وإثمهم... إذ منذ خلق العالم تُرى أموره غير المنظورة وقدرته السرمدية ولاهوته مدركة بالمصنوعات حتى إنهم بلا عذر. لأنهم لما عرفوا الله لم يمجدوه أو يشكروه كإله... بل أظلم قلبهم الغبي.</w:t>
      </w:r>
    </w:p>
    <w:p>
      <w:pPr>
        <w:spacing w:after="80" w:line="250" w:lineRule="auto"/>
        <w:jc w:val="right"/>
        <w:bidi w:val="1"/>
      </w:pPr>
      <w:r>
        <w:rPr>
          <w:rFonts w:ascii="Noto Naskh Arabic" w:hAnsi="Noto Naskh Arabic" w:cs="Noto Naskh Arabic" w:eastAsia="Noto Naskh Arabic"/>
          <w:b w:val="0"/>
          <w:sz w:val="21"/>
        </w:rPr>
        <w:t>وبينما هم يزعمون أنهم حكماء صاروا جهلاء، وأبدلوا مجد الله الذي لا يفنى بشبه صورة الإنسان الذي يفنى...</w:t>
      </w:r>
    </w:p>
    <w:p>
      <w:pPr>
        <w:spacing w:after="80" w:line="250" w:lineRule="auto"/>
        <w:jc w:val="right"/>
        <w:bidi w:val="1"/>
      </w:pPr>
      <w:r>
        <w:rPr>
          <w:rFonts w:ascii="Noto Naskh Arabic" w:hAnsi="Noto Naskh Arabic" w:cs="Noto Naskh Arabic" w:eastAsia="Noto Naskh Arabic"/>
          <w:b w:val="0"/>
          <w:sz w:val="21"/>
        </w:rPr>
        <w:t>لذلك أسلمهم الله أيضاً في شهوات قلوبهم إلى النجاسة لإهانة أجسادهم بين ذواتهم، الذين استبدلوا حق الله بالكذب وعبدوا المخلوق وخدموه دون الخالق...</w:t>
      </w:r>
    </w:p>
    <w:p>
      <w:pPr>
        <w:spacing w:after="80" w:line="250" w:lineRule="auto"/>
        <w:jc w:val="right"/>
        <w:bidi w:val="1"/>
      </w:pPr>
      <w:r>
        <w:rPr>
          <w:rFonts w:ascii="Noto Naskh Arabic" w:hAnsi="Noto Naskh Arabic" w:cs="Noto Naskh Arabic" w:eastAsia="Noto Naskh Arabic"/>
          <w:b w:val="0"/>
          <w:sz w:val="21"/>
        </w:rPr>
        <w:t>لذلك أسلمهم الله إلى أهواء الهوان، لأن إناثهم استبدلن الاستعمال الطبيعي بالذي على خلاف الطبيعة، وكذلك الذكور أيضاً تاركين استعمال الأنثى الطبيعي اشتعلوا بشهوتهم بعضهم لبعض...</w:t>
      </w:r>
    </w:p>
    <w:p>
      <w:pPr>
        <w:spacing w:after="80" w:line="250" w:lineRule="auto"/>
        <w:jc w:val="right"/>
        <w:bidi w:val="1"/>
      </w:pPr>
      <w:r>
        <w:rPr>
          <w:rFonts w:ascii="Noto Naskh Arabic" w:hAnsi="Noto Naskh Arabic" w:cs="Noto Naskh Arabic" w:eastAsia="Noto Naskh Arabic"/>
          <w:b w:val="0"/>
          <w:sz w:val="21"/>
        </w:rPr>
        <w:t>وكما لم يستحسنوا أن يبقوا الله في معرفتهم أسلمهم الله إلى ذهن مرفوض ليفعلوا ما لا يليق... الذين إذ عرفوا حكم الله أن الذين يعملون مثل هذه يستوجبون الموت، لا يفعلونها فقط بل أيضاً يسرون بالذين يعملون» (رومية 1:18-32، بحسب النص الذي يستشهد به الكتيب).</w:t>
      </w:r>
    </w:p>
    <w:p>
      <w:pPr>
        <w:spacing w:after="80" w:line="250" w:lineRule="auto"/>
        <w:jc w:val="right"/>
        <w:bidi w:val="1"/>
      </w:pPr>
      <w:r>
        <w:rPr>
          <w:rFonts w:ascii="Noto Naskh Arabic" w:hAnsi="Noto Naskh Arabic" w:cs="Noto Naskh Arabic" w:eastAsia="Noto Naskh Arabic"/>
          <w:b w:val="0"/>
          <w:sz w:val="21"/>
        </w:rPr>
        <w:t>ويستخلص المؤلف من هذا النص خطوات في عملية الانحدار. فالبداية، في نظره، هي رفض الاعتراف بالله رغم الأدلة التي يراها الإنسان في الخليقة. ثم يضع الإنسان نفسه ورغباته فوق الله، ومع استمرار الرفض «يسلمه» الله إلى الطريق الذي اختاره.</w:t>
      </w:r>
    </w:p>
    <w:p>
      <w:pPr>
        <w:spacing w:after="80" w:line="250" w:lineRule="auto"/>
        <w:jc w:val="right"/>
        <w:bidi w:val="1"/>
      </w:pPr>
      <w:r>
        <w:rPr>
          <w:rFonts w:ascii="Noto Naskh Arabic" w:hAnsi="Noto Naskh Arabic" w:cs="Noto Naskh Arabic" w:eastAsia="Noto Naskh Arabic"/>
          <w:b w:val="0"/>
          <w:sz w:val="21"/>
        </w:rPr>
        <w:t>ويلخص الكتيب ذلك هكذا: لا يعترف الإنسان بالله؛ ثم يرفع نفسه واحتياجاته فوق الله؛ ثم يترك نفسه للنجاسة بأنواعها. ويرى أن المرحلة النهائية تحدث عندما لا يكتفي المجتمع بالتسامح مع السلوك الذي يرفضه الكتاب، بل يصفق له ويمجده.</w:t>
      </w:r>
    </w:p>
    <w:p>
      <w:pPr>
        <w:spacing w:after="80" w:line="250" w:lineRule="auto"/>
        <w:jc w:val="right"/>
        <w:bidi w:val="1"/>
      </w:pPr>
      <w:r>
        <w:rPr>
          <w:rFonts w:ascii="Noto Naskh Arabic" w:hAnsi="Noto Naskh Arabic" w:cs="Noto Naskh Arabic" w:eastAsia="Noto Naskh Arabic"/>
          <w:b w:val="0"/>
          <w:sz w:val="21"/>
        </w:rPr>
        <w:t>ويذكر الكاتب أن مثل هذه الأنماط ظهرت، في رأيه، في فترات من التاريخ اتسمت بالانحلال، مثل أواخر عصر القضاة أو انحدار الإمبراطورية الرومانية. ثم يربط ذلك بالمجتمع الذي كان يعيش فيه وقت كتابة الكتيب، حيث يرى أن كثيراً من وسائل الترفيه الشعبية تبني مادتها على سلوكيات يرفضها الكتاب.</w:t>
      </w:r>
    </w:p>
    <w:p>
      <w:pPr>
        <w:spacing w:before="140" w:after="40"/>
        <w:jc w:val="right"/>
        <w:bidi w:val="1"/>
        <w:keepNext/>
      </w:pPr>
      <w:r>
        <w:rPr>
          <w:rFonts w:ascii="Noto Naskh Arabic" w:hAnsi="Noto Naskh Arabic" w:cs="Noto Naskh Arabic" w:eastAsia="Noto Naskh Arabic"/>
          <w:b/>
          <w:sz w:val="28"/>
        </w:rPr>
        <w:t>مجتمع متسامح</w:t>
      </w:r>
    </w:p>
    <w:p>
      <w:pPr>
        <w:spacing w:after="80" w:line="250" w:lineRule="auto"/>
        <w:jc w:val="right"/>
        <w:bidi w:val="1"/>
      </w:pPr>
      <w:r>
        <w:rPr>
          <w:rFonts w:ascii="Noto Naskh Arabic" w:hAnsi="Noto Naskh Arabic" w:cs="Noto Naskh Arabic" w:eastAsia="Noto Naskh Arabic"/>
          <w:b w:val="0"/>
          <w:sz w:val="21"/>
        </w:rPr>
        <w:t>يعود الكاتب هنا إلى فكرة المجتمع المتسامح. فقد كان بولس نفسه يكتب في عالم كانت فيه الممارسات المثلية معروفة، وتأثر بثقافة يونانية كانت بعض أشكال العلاقات بين الرجال فيها مقبولة أو حتى ممدوحة في بعض الأوساط. وما زال تعبير «الحب اليوناني» يُستعمل أحياناً إشارة إلى العلاقات المثلية.</w:t>
      </w:r>
    </w:p>
    <w:p>
      <w:pPr>
        <w:spacing w:after="80" w:line="250" w:lineRule="auto"/>
        <w:jc w:val="right"/>
        <w:bidi w:val="1"/>
      </w:pPr>
      <w:r>
        <w:rPr>
          <w:rFonts w:ascii="Noto Naskh Arabic" w:hAnsi="Noto Naskh Arabic" w:cs="Noto Naskh Arabic" w:eastAsia="Noto Naskh Arabic"/>
          <w:b w:val="0"/>
          <w:sz w:val="21"/>
        </w:rPr>
        <w:t>ويرى المؤلف أن شريعة موسى قدمت موقف الكتاب في مواجهة انتشار هذه الممارسات في زمن العهد القديم، وأن تحذيرات بولس قدمت الموقف نفسه للمؤمنين في القرن الأول.</w:t>
      </w:r>
    </w:p>
    <w:p>
      <w:pPr>
        <w:spacing w:after="80" w:line="250" w:lineRule="auto"/>
        <w:jc w:val="right"/>
        <w:bidi w:val="1"/>
      </w:pPr>
      <w:r>
        <w:rPr>
          <w:rFonts w:ascii="Noto Naskh Arabic" w:hAnsi="Noto Naskh Arabic" w:cs="Noto Naskh Arabic" w:eastAsia="Noto Naskh Arabic"/>
          <w:b w:val="0"/>
          <w:sz w:val="21"/>
        </w:rPr>
        <w:t>ويصر الكتيب على أن «التسامح» الاجتماعي لا يحدد في ذاته ما يراه الله صحيحاً أو خطأ. ومن ثم فإن المجتمع، في رأيه، قد يغير قوانينه أو تقييمه الأخلاقي، لكن المؤمن بالكتاب ينبغي أن يرجع في النهاية إلى ما يفهمه من كلمة الله.</w:t>
      </w:r>
    </w:p>
    <w:p>
      <w:pPr>
        <w:spacing w:before="140" w:after="40"/>
        <w:jc w:val="right"/>
        <w:bidi w:val="1"/>
        <w:keepNext/>
      </w:pPr>
      <w:r>
        <w:rPr>
          <w:rFonts w:ascii="Noto Naskh Arabic" w:hAnsi="Noto Naskh Arabic" w:cs="Noto Naskh Arabic" w:eastAsia="Noto Naskh Arabic"/>
          <w:b/>
          <w:sz w:val="28"/>
        </w:rPr>
        <w:t>هل عصرنا مختلف؟</w:t>
      </w:r>
    </w:p>
    <w:p>
      <w:pPr>
        <w:spacing w:after="80" w:line="250" w:lineRule="auto"/>
        <w:jc w:val="right"/>
        <w:bidi w:val="1"/>
      </w:pPr>
      <w:r>
        <w:rPr>
          <w:rFonts w:ascii="Noto Naskh Arabic" w:hAnsi="Noto Naskh Arabic" w:cs="Noto Naskh Arabic" w:eastAsia="Noto Naskh Arabic"/>
          <w:b w:val="0"/>
          <w:sz w:val="21"/>
        </w:rPr>
        <w:t>كثيراً ما يُقال إن الكتاب يشجع «رهاب المثلية»، أي الخوف أو الكراهية غير العقلانية للمثليين، وإن مواقف موسى وبولس تعكس فقط عصرهما. وبحسب هذا الاعتراض، يعرف العالم الحديث عن الإنسان أكثر مما عرفه الناس قديماً.</w:t>
      </w:r>
    </w:p>
    <w:p>
      <w:pPr>
        <w:spacing w:after="80" w:line="250" w:lineRule="auto"/>
        <w:jc w:val="right"/>
        <w:bidi w:val="1"/>
      </w:pPr>
      <w:r>
        <w:rPr>
          <w:rFonts w:ascii="Noto Naskh Arabic" w:hAnsi="Noto Naskh Arabic" w:cs="Noto Naskh Arabic" w:eastAsia="Noto Naskh Arabic"/>
          <w:b w:val="0"/>
          <w:sz w:val="21"/>
        </w:rPr>
        <w:t>لكن سؤال الكتيب هو: هل يعرف الإنسان أفضل من الله؟ فشريعة إسرائيل، في إيمان الكاتب، أعطاها الله، وبولس كتب بوحي من الله. ولذلك ينظر إلى الكتاب المقدس على أنه كلمة الله لا مجرد تعبير ثقافي بشري.</w:t>
      </w:r>
    </w:p>
    <w:p>
      <w:pPr>
        <w:spacing w:after="80" w:line="250" w:lineRule="auto"/>
        <w:jc w:val="right"/>
        <w:bidi w:val="1"/>
      </w:pPr>
      <w:r>
        <w:rPr>
          <w:rFonts w:ascii="Noto Naskh Arabic" w:hAnsi="Noto Naskh Arabic" w:cs="Noto Naskh Arabic" w:eastAsia="Noto Naskh Arabic"/>
          <w:b w:val="0"/>
          <w:sz w:val="21"/>
        </w:rPr>
        <w:t>وفي الوقت نفسه يؤكد الكتيب أن رسالة الإنجيل هي رسالة رجاء لجميع الناس، مهما كانت خلفيتهم أو عرقهم أو ثقافتهم. فالإنجيل يدعو كل إنسان إلى إعادة تشكيل حياته على كلمة الله وعلى مثال المسيح، ولذلك فالتغيير ليس مطلوباً من فئة واحدة دون غيرها.</w:t>
      </w:r>
    </w:p>
    <w:p>
      <w:pPr>
        <w:spacing w:after="80" w:line="250" w:lineRule="auto"/>
        <w:jc w:val="right"/>
        <w:bidi w:val="1"/>
      </w:pPr>
      <w:r>
        <w:rPr>
          <w:rFonts w:ascii="Noto Naskh Arabic" w:hAnsi="Noto Naskh Arabic" w:cs="Noto Naskh Arabic" w:eastAsia="Noto Naskh Arabic"/>
          <w:b w:val="0"/>
          <w:sz w:val="21"/>
        </w:rPr>
        <w:t>ويختم بالقول إن هناك مساراً عكس الانحدار الذي وصفه بولس في رومية 1: طريق الخلاص في المسيح الذي عرض في بداية الكتيب. وتقابل كل خطوة نحو رفض الله خطوة في طريق التلمذة. ويدعو الرجال والنساء إلى:</w:t>
        <w:br/>
        <w:t>• الاعتراف بالله خالقاً وأن طرقه صحيحة؛</w:t>
        <w:br/>
        <w:t>• السعي إلى إكرامه والعيش بما يرضيه؛</w:t>
        <w:br/>
        <w:t>• التحدث إليه في الصلاة والاستماع إلى كلمته لتوجيه السلوك؛</w:t>
        <w:br/>
        <w:t>• إدراك الحاجة إلى الغفران؛</w:t>
        <w:br/>
        <w:t>• التوبة والمعمودية؛</w:t>
        <w:br/>
        <w:t>• الشركة مع المؤمنين الذين يحاولون هم أيضاً أن «يلبسوا المسيح» كل يوم.</w:t>
      </w:r>
    </w:p>
    <w:p>
      <w:pPr>
        <w:spacing w:after="80" w:line="250" w:lineRule="auto"/>
        <w:jc w:val="right"/>
        <w:bidi w:val="1"/>
      </w:pPr>
      <w:r>
        <w:rPr>
          <w:rFonts w:ascii="Noto Naskh Arabic" w:hAnsi="Noto Naskh Arabic" w:cs="Noto Naskh Arabic" w:eastAsia="Noto Naskh Arabic"/>
          <w:b w:val="0"/>
          <w:sz w:val="21"/>
        </w:rPr>
        <w:t>يقول الكاتب إن الإنسان إذا تُرك لنفسه كان وضعه بلا رجاء، لكنه ليس متروكاً. فالإنجيل، في نظره، يقدم الجواب: أرسل الله الرب يسوع المسيح ليظهر قصده، وجاء يسوع مبشراً بملكوت الله، داعياً الناس إلى رجاء عالم يُطهَّر من الخطية والموت.</w:t>
      </w:r>
    </w:p>
    <w:p>
      <w:pPr>
        <w:spacing w:after="80" w:line="250" w:lineRule="auto"/>
        <w:jc w:val="right"/>
        <w:bidi w:val="1"/>
      </w:pPr>
      <w:r>
        <w:rPr>
          <w:rFonts w:ascii="Noto Naskh Arabic" w:hAnsi="Noto Naskh Arabic" w:cs="Noto Naskh Arabic" w:eastAsia="Noto Naskh Arabic"/>
          <w:b w:val="0"/>
          <w:sz w:val="21"/>
        </w:rPr>
        <w:t>ولا يرى الكتيب أن الله يطلب من الإنسان أمراً مستحيلاً أو يتركه بلا عون. فهناك قوة في الصلاة، وفي قراءة كلمة الله، وفي صحبة المؤمنين. ومن يسع إلى إصلاح علاقته بالله يستطيع، بحسب رسالة الإنجيل التي يقدمها المؤلف، أن يقترب من الرب يسوع المسيح وينال الخلاص باسمه.</w:t>
      </w:r>
    </w:p>
    <w:p>
      <w:pPr>
        <w:spacing w:after="80" w:line="250" w:lineRule="auto"/>
        <w:jc w:val="right"/>
        <w:bidi w:val="1"/>
      </w:pPr>
      <w:r>
        <w:rPr>
          <w:rFonts w:ascii="Noto Naskh Arabic" w:hAnsi="Noto Naskh Arabic" w:cs="Noto Naskh Arabic" w:eastAsia="Noto Naskh Arabic"/>
          <w:b w:val="0"/>
          <w:sz w:val="21"/>
        </w:rPr>
        <w:t>— مايكل أشتون</w:t>
      </w:r>
    </w:p>
    <w:p>
      <w:pPr>
        <w:spacing w:after="80" w:line="250" w:lineRule="auto"/>
        <w:jc w:val="right"/>
        <w:bidi w:val="1"/>
      </w:pPr>
      <w:r>
        <w:rPr>
          <w:rFonts w:ascii="Noto Naskh Arabic" w:hAnsi="Noto Naskh Arabic" w:cs="Noto Naskh Arabic" w:eastAsia="Noto Naskh Arabic"/>
          <w:b w:val="0"/>
          <w:sz w:val="21"/>
        </w:rPr>
        <w:t>اقتباسات الكتاب المقدس في الأصل مأخوذة من New King James Version.</w:t>
      </w:r>
    </w:p>
    <w:p/>
    <w:p>
      <w:pPr>
        <w:jc w:val="right"/>
        <w:bidi w:val="1"/>
      </w:pPr>
      <w:r>
        <w:rPr>
          <w:rFonts w:ascii="Noto Naskh Arabic" w:hAnsi="Noto Naskh Arabic" w:cs="Noto Naskh Arabic" w:eastAsia="Noto Naskh Arabic"/>
          <w:b w:val="0"/>
          <w:sz w:val="18"/>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