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p>
      <w:pPr>
        <w:jc w:val="center"/>
        <w:bidi w:val="1"/>
      </w:pPr>
      <w:r>
        <w:rPr>
          <w:rFonts w:ascii="Noto Naskh Arabic" w:hAnsi="Noto Naskh Arabic" w:cs="Noto Naskh Arabic"/>
          <w:b/>
          <w:sz w:val="40"/>
        </w:rPr>
        <w:t>من هم الكريستادلفيان؟</w:t>
      </w:r>
    </w:p>
    <w:p>
      <w:pPr>
        <w:spacing w:after="20"/>
        <w:ind w:right="440"/>
        <w:jc w:val="right"/>
        <w:bidi w:val="1"/>
      </w:pPr>
      <w:r>
        <w:rPr>
          <w:rFonts w:ascii="Noto Naskh Arabic" w:hAnsi="Noto Naskh Arabic" w:cs="Noto Naskh Arabic"/>
          <w:b w:val="0"/>
          <w:i w:val="0"/>
          <w:sz w:val="22"/>
        </w:rPr>
        <w:t>•  شركة رسولية</w:t>
      </w:r>
    </w:p>
    <w:p>
      <w:pPr>
        <w:spacing w:after="20"/>
        <w:ind w:right="440"/>
        <w:jc w:val="right"/>
        <w:bidi w:val="1"/>
      </w:pPr>
      <w:r>
        <w:rPr>
          <w:rFonts w:ascii="Noto Naskh Arabic" w:hAnsi="Noto Naskh Arabic" w:cs="Noto Naskh Arabic"/>
          <w:b w:val="0"/>
          <w:i w:val="0"/>
          <w:sz w:val="22"/>
        </w:rPr>
        <w:t>•  اسم «الكريستادلفيان»</w:t>
      </w:r>
    </w:p>
    <w:p>
      <w:pPr>
        <w:spacing w:after="20"/>
        <w:ind w:right="440"/>
        <w:jc w:val="right"/>
        <w:bidi w:val="1"/>
      </w:pPr>
      <w:r>
        <w:rPr>
          <w:rFonts w:ascii="Noto Naskh Arabic" w:hAnsi="Noto Naskh Arabic" w:cs="Noto Naskh Arabic"/>
          <w:b w:val="0"/>
          <w:i w:val="0"/>
          <w:sz w:val="22"/>
        </w:rPr>
        <w:t>•  أساس مميز</w:t>
      </w:r>
    </w:p>
    <w:p>
      <w:pPr>
        <w:spacing w:after="20"/>
        <w:ind w:right="440"/>
        <w:jc w:val="right"/>
        <w:bidi w:val="1"/>
      </w:pPr>
      <w:r>
        <w:rPr>
          <w:rFonts w:ascii="Noto Naskh Arabic" w:hAnsi="Noto Naskh Arabic" w:cs="Noto Naskh Arabic"/>
          <w:b w:val="0"/>
          <w:i w:val="0"/>
          <w:sz w:val="22"/>
        </w:rPr>
        <w:t>•  الكتاب المقدس كله</w:t>
      </w:r>
    </w:p>
    <w:p>
      <w:pPr>
        <w:spacing w:after="20"/>
        <w:ind w:right="440"/>
        <w:jc w:val="right"/>
        <w:bidi w:val="1"/>
      </w:pPr>
      <w:r>
        <w:rPr>
          <w:rFonts w:ascii="Noto Naskh Arabic" w:hAnsi="Noto Naskh Arabic" w:cs="Noto Naskh Arabic"/>
          <w:b w:val="0"/>
          <w:i w:val="0"/>
          <w:sz w:val="22"/>
        </w:rPr>
        <w:t>•  الله: الخالق والآب</w:t>
      </w:r>
    </w:p>
    <w:p>
      <w:pPr>
        <w:spacing w:after="20"/>
        <w:ind w:right="440"/>
        <w:jc w:val="right"/>
        <w:bidi w:val="1"/>
      </w:pPr>
      <w:r>
        <w:rPr>
          <w:rFonts w:ascii="Noto Naskh Arabic" w:hAnsi="Noto Naskh Arabic" w:cs="Noto Naskh Arabic"/>
          <w:b w:val="0"/>
          <w:i w:val="0"/>
          <w:sz w:val="22"/>
        </w:rPr>
        <w:t>•  أهمية الأرض</w:t>
      </w:r>
    </w:p>
    <w:p>
      <w:pPr>
        <w:spacing w:after="20"/>
        <w:ind w:right="440"/>
        <w:jc w:val="right"/>
        <w:bidi w:val="1"/>
      </w:pPr>
      <w:r>
        <w:rPr>
          <w:rFonts w:ascii="Noto Naskh Arabic" w:hAnsi="Noto Naskh Arabic" w:cs="Noto Naskh Arabic"/>
          <w:b w:val="0"/>
          <w:i w:val="0"/>
          <w:sz w:val="22"/>
        </w:rPr>
        <w:t>•  إسرائيل في قصد الله</w:t>
      </w:r>
    </w:p>
    <w:p>
      <w:pPr>
        <w:spacing w:after="20"/>
        <w:ind w:right="440"/>
        <w:jc w:val="right"/>
        <w:bidi w:val="1"/>
      </w:pPr>
      <w:r>
        <w:rPr>
          <w:rFonts w:ascii="Noto Naskh Arabic" w:hAnsi="Noto Naskh Arabic" w:cs="Noto Naskh Arabic"/>
          <w:b w:val="0"/>
          <w:i w:val="0"/>
          <w:sz w:val="22"/>
        </w:rPr>
        <w:t>•  الوعود للآباء</w:t>
      </w:r>
    </w:p>
    <w:p>
      <w:pPr>
        <w:spacing w:after="20"/>
        <w:ind w:right="440"/>
        <w:jc w:val="right"/>
        <w:bidi w:val="1"/>
      </w:pPr>
      <w:r>
        <w:rPr>
          <w:rFonts w:ascii="Noto Naskh Arabic" w:hAnsi="Noto Naskh Arabic" w:cs="Noto Naskh Arabic"/>
          <w:b w:val="0"/>
          <w:i w:val="0"/>
          <w:sz w:val="22"/>
        </w:rPr>
        <w:t>•  الحقيقة عن الإنسان</w:t>
      </w:r>
    </w:p>
    <w:p>
      <w:pPr>
        <w:spacing w:after="20"/>
        <w:ind w:right="440"/>
        <w:jc w:val="right"/>
        <w:bidi w:val="1"/>
      </w:pPr>
      <w:r>
        <w:rPr>
          <w:rFonts w:ascii="Noto Naskh Arabic" w:hAnsi="Noto Naskh Arabic" w:cs="Noto Naskh Arabic"/>
          <w:b w:val="0"/>
          <w:i w:val="0"/>
          <w:sz w:val="22"/>
        </w:rPr>
        <w:t>•  الإنسان مائت</w:t>
      </w:r>
    </w:p>
    <w:p>
      <w:pPr>
        <w:spacing w:after="20"/>
        <w:ind w:right="440"/>
        <w:jc w:val="right"/>
        <w:bidi w:val="1"/>
      </w:pPr>
      <w:r>
        <w:rPr>
          <w:rFonts w:ascii="Noto Naskh Arabic" w:hAnsi="Noto Naskh Arabic" w:cs="Noto Naskh Arabic"/>
          <w:b w:val="0"/>
          <w:i w:val="0"/>
          <w:sz w:val="22"/>
        </w:rPr>
        <w:t>•  طبيعة يسوع</w:t>
      </w:r>
    </w:p>
    <w:p>
      <w:pPr>
        <w:spacing w:after="20"/>
        <w:ind w:right="440"/>
        <w:jc w:val="right"/>
        <w:bidi w:val="1"/>
      </w:pPr>
      <w:r>
        <w:rPr>
          <w:rFonts w:ascii="Noto Naskh Arabic" w:hAnsi="Noto Naskh Arabic" w:cs="Noto Naskh Arabic"/>
          <w:b w:val="0"/>
          <w:i w:val="0"/>
          <w:sz w:val="22"/>
        </w:rPr>
        <w:t>•  ابن الله، لا «الله الابن»</w:t>
      </w:r>
    </w:p>
    <w:p>
      <w:pPr>
        <w:spacing w:after="20"/>
        <w:ind w:right="440"/>
        <w:jc w:val="right"/>
        <w:bidi w:val="1"/>
      </w:pPr>
      <w:r>
        <w:rPr>
          <w:rFonts w:ascii="Noto Naskh Arabic" w:hAnsi="Noto Naskh Arabic" w:cs="Noto Naskh Arabic"/>
          <w:b w:val="0"/>
          <w:i w:val="0"/>
          <w:sz w:val="22"/>
        </w:rPr>
        <w:t>•  إبليس والشيطان</w:t>
      </w:r>
    </w:p>
    <w:p>
      <w:pPr>
        <w:spacing w:after="20"/>
        <w:ind w:right="440"/>
        <w:jc w:val="right"/>
        <w:bidi w:val="1"/>
      </w:pPr>
      <w:r>
        <w:rPr>
          <w:rFonts w:ascii="Noto Naskh Arabic" w:hAnsi="Noto Naskh Arabic" w:cs="Noto Naskh Arabic"/>
          <w:b w:val="0"/>
          <w:i w:val="0"/>
          <w:sz w:val="22"/>
        </w:rPr>
        <w:t>•  البشارة</w:t>
      </w:r>
    </w:p>
    <w:p>
      <w:pPr>
        <w:spacing w:after="20"/>
        <w:ind w:right="440"/>
        <w:jc w:val="right"/>
        <w:bidi w:val="1"/>
      </w:pPr>
      <w:r>
        <w:rPr>
          <w:rFonts w:ascii="Noto Naskh Arabic" w:hAnsi="Noto Naskh Arabic" w:cs="Noto Naskh Arabic"/>
          <w:b w:val="0"/>
          <w:i w:val="0"/>
          <w:sz w:val="22"/>
        </w:rPr>
        <w:t>•  المعمودية</w:t>
      </w:r>
    </w:p>
    <w:p>
      <w:pPr>
        <w:spacing w:after="20"/>
        <w:ind w:right="440"/>
        <w:jc w:val="right"/>
        <w:bidi w:val="1"/>
      </w:pPr>
      <w:r>
        <w:rPr>
          <w:rFonts w:ascii="Noto Naskh Arabic" w:hAnsi="Noto Naskh Arabic" w:cs="Noto Naskh Arabic"/>
          <w:b w:val="0"/>
          <w:i w:val="0"/>
          <w:sz w:val="22"/>
        </w:rPr>
        <w:t>•  ملكوت الله</w:t>
      </w:r>
    </w:p>
    <w:p>
      <w:pPr>
        <w:spacing w:after="20"/>
        <w:ind w:right="440"/>
        <w:jc w:val="right"/>
        <w:bidi w:val="1"/>
      </w:pPr>
      <w:r>
        <w:rPr>
          <w:rFonts w:ascii="Noto Naskh Arabic" w:hAnsi="Noto Naskh Arabic" w:cs="Noto Naskh Arabic"/>
          <w:b w:val="0"/>
          <w:i w:val="0"/>
          <w:sz w:val="22"/>
        </w:rPr>
        <w:t>•  عندما يأتي المسيح...</w:t>
      </w:r>
    </w:p>
    <w:p>
      <w:pPr>
        <w:spacing w:after="20"/>
        <w:ind w:right="440"/>
        <w:jc w:val="right"/>
        <w:bidi w:val="1"/>
      </w:pPr>
      <w:r>
        <w:rPr>
          <w:rFonts w:ascii="Noto Naskh Arabic" w:hAnsi="Noto Naskh Arabic" w:cs="Noto Naskh Arabic"/>
          <w:b w:val="0"/>
          <w:i w:val="0"/>
          <w:sz w:val="22"/>
        </w:rPr>
        <w:t>•  حياة التلمذة</w:t>
      </w:r>
    </w:p>
    <w:p>
      <w:pPr>
        <w:spacing w:after="20"/>
        <w:ind w:right="440"/>
        <w:jc w:val="right"/>
        <w:bidi w:val="1"/>
      </w:pPr>
      <w:r>
        <w:rPr>
          <w:rFonts w:ascii="Noto Naskh Arabic" w:hAnsi="Noto Naskh Arabic" w:cs="Noto Naskh Arabic"/>
          <w:b w:val="0"/>
          <w:i w:val="0"/>
          <w:sz w:val="22"/>
        </w:rPr>
        <w:t>•  سلام الذهن</w:t>
      </w:r>
    </w:p>
    <w:p>
      <w:pPr>
        <w:spacing w:after="100"/>
        <w:jc w:val="right"/>
        <w:bidi w:val="1"/>
      </w:pPr>
      <w:r>
        <w:rPr>
          <w:rFonts w:ascii="Noto Naskh Arabic" w:hAnsi="Noto Naskh Arabic" w:cs="Noto Naskh Arabic"/>
          <w:b w:val="0"/>
          <w:i w:val="0"/>
          <w:sz w:val="22"/>
        </w:rPr>
        <w:t>لا بد أن هناك كثيرين يشعرون بأن في شخص يسوع المسيح وتعليمه أمراً بالغ الأهمية. لكنهم حين ينظرون إلى «المسيحية»، في تاريخها وفي صورها الحديثة، يجدون طيفاً واسعاً من الكنائس والجماعات، لكل منها أسسها وتعاليمها وممارساتها المختلفة. وقد يسبب وجود هذا العدد الكبير من الجماعات التي تحمل اسم «مسيحية» حيرة شديدة، فيستسلم بعض الباحثين ويظنون أن الوصول إلى «الحق» أمر ميؤوس منه.</w:t>
      </w:r>
    </w:p>
    <w:p>
      <w:pPr>
        <w:spacing w:after="100"/>
        <w:jc w:val="right"/>
        <w:bidi w:val="1"/>
      </w:pPr>
      <w:r>
        <w:rPr>
          <w:rFonts w:ascii="Noto Naskh Arabic" w:hAnsi="Noto Naskh Arabic" w:cs="Noto Naskh Arabic"/>
          <w:b w:val="0"/>
          <w:i w:val="0"/>
          <w:sz w:val="22"/>
        </w:rPr>
        <w:t>كُتب هذا الكتيب القصير لجذب انتباه الباحث المهتم إلى جماعة من المؤمنين بالمسيح يسمون أنفسهم «الكريستادلفيان»، وينظمون أنفسهم في جماعات موجودة في أنحاء العالم. وأينما وُجدوا تقوم شركتهم على أساس متفق عليه من المعتقدات. ومن المبادئ الجوهرية في إيمانهم أن ما علّمه المسيح ورسله في القرن الأول كان هو الحق، وما زال هو الحق اليوم. والأسفار المقدسة، في العهدين القديم والجديد، هي سلطتهم الوحيدة.</w:t>
      </w:r>
    </w:p>
    <w:p>
      <w:pPr>
        <w:spacing w:before="200" w:after="80"/>
        <w:jc w:val="right"/>
        <w:keepNext/>
        <w:bidi w:val="1"/>
      </w:pPr>
      <w:r>
        <w:rPr>
          <w:rFonts w:ascii="Noto Naskh Arabic" w:hAnsi="Noto Naskh Arabic" w:cs="Noto Naskh Arabic"/>
          <w:b/>
          <w:sz w:val="28"/>
        </w:rPr>
        <w:t>شركة رسولية</w:t>
      </w:r>
    </w:p>
    <w:p>
      <w:pPr>
        <w:spacing w:after="100"/>
        <w:jc w:val="right"/>
        <w:bidi w:val="1"/>
      </w:pPr>
      <w:r>
        <w:rPr>
          <w:rFonts w:ascii="Noto Naskh Arabic" w:hAnsi="Noto Naskh Arabic" w:cs="Noto Naskh Arabic"/>
          <w:b w:val="0"/>
          <w:i w:val="0"/>
          <w:sz w:val="22"/>
        </w:rPr>
        <w:t>ليس لهذه الجماعة خدام مأجورون، ولا ثياب كهنوتية ولا طقوس معقدة، ولا يوجد فيها «رأس للكنيسة» بشري أو مجلس تشريعي مركزي. وكل إكليسيا — وهي الكلمة التي يستعملها العهد الجديد للكنيسة أو الجماعة — تدير شؤونها بنفسها، مع وجود نمط عام متشابه في كل مكان. وكما كان الحال مع «الشيوخ» في زمن العهد الجديد، يُعيَّن بعض الأعضاء لتدبير شؤون الإكليسيا ورئاسة اجتماعاتها.</w:t>
      </w:r>
    </w:p>
    <w:p>
      <w:pPr>
        <w:spacing w:after="100"/>
        <w:jc w:val="right"/>
        <w:bidi w:val="1"/>
      </w:pPr>
      <w:r>
        <w:rPr>
          <w:rFonts w:ascii="Noto Naskh Arabic" w:hAnsi="Noto Naskh Arabic" w:cs="Noto Naskh Arabic"/>
          <w:b w:val="0"/>
          <w:i w:val="0"/>
          <w:sz w:val="22"/>
        </w:rPr>
        <w:t>في اجتماع «كسر الخبز» في «أول الأسبوع» توجد ترانيم وصلوات وقراءات من الأسفار المقدسة وكلمة وعظ أو تشجيع. ويمر الخبز والخمر بين جميع «الإخوة والأخوات» الحاضرين. وتُجمع تبرعات طوعية لتغطية النفقات. ويعتقد الكريستادلفيان أن بعض أتباع الرسل الأوائل في القرن الأول، لو حضروا مثل هذا الاجتماع، لعرفوا فوراً ما يجري، لأنه قائم على نموذج العبادة في العهد الجديد.</w:t>
      </w:r>
    </w:p>
    <w:p>
      <w:pPr>
        <w:spacing w:after="100"/>
        <w:jc w:val="right"/>
        <w:bidi w:val="1"/>
      </w:pPr>
      <w:r>
        <w:rPr>
          <w:rFonts w:ascii="Noto Naskh Arabic" w:hAnsi="Noto Naskh Arabic" w:cs="Noto Naskh Arabic"/>
          <w:b w:val="0"/>
          <w:i w:val="0"/>
          <w:sz w:val="22"/>
        </w:rPr>
        <w:t>ومثل تلاميذ يسوع الأوائل، يعلنون أيضاً رسالته عن الحياة لكل من يرغب في السماع؛ ويعلّمون أطفالهم وشبابهم في مدارس الأحد ومجموعات الشباب؛ ويشجعون بين أعضائهم حياة الإيمان والصلاة والطاعة لوصايا المسيح.</w:t>
      </w:r>
    </w:p>
    <w:p>
      <w:pPr>
        <w:spacing w:before="200" w:after="80"/>
        <w:jc w:val="right"/>
        <w:keepNext/>
        <w:bidi w:val="1"/>
      </w:pPr>
      <w:r>
        <w:rPr>
          <w:rFonts w:ascii="Noto Naskh Arabic" w:hAnsi="Noto Naskh Arabic" w:cs="Noto Naskh Arabic"/>
          <w:b/>
          <w:sz w:val="28"/>
        </w:rPr>
        <w:t>اسم «الكريستادلفيان»</w:t>
      </w:r>
    </w:p>
    <w:p>
      <w:pPr>
        <w:spacing w:after="100"/>
        <w:jc w:val="right"/>
        <w:bidi w:val="1"/>
      </w:pPr>
      <w:r>
        <w:rPr>
          <w:rFonts w:ascii="Noto Naskh Arabic" w:hAnsi="Noto Naskh Arabic" w:cs="Noto Naskh Arabic"/>
          <w:b w:val="0"/>
          <w:i w:val="0"/>
          <w:sz w:val="22"/>
        </w:rPr>
        <w:t>في الأيام الأولى وجد الأعضاء أنهم يحتاجون إلى اسم يحفظ هويتهم. فاختير اسم Christadelphians لأنه يعني «الإخوة — وبالطبع الأخوات — في المسيح». واستُخدم الاسم لتمييز الجماعة لأكثر من 120 سنة.</w:t>
      </w:r>
    </w:p>
    <w:p>
      <w:pPr>
        <w:spacing w:after="100"/>
        <w:jc w:val="right"/>
        <w:bidi w:val="1"/>
      </w:pPr>
      <w:r>
        <w:rPr>
          <w:rFonts w:ascii="Noto Naskh Arabic" w:hAnsi="Noto Naskh Arabic" w:cs="Noto Naskh Arabic"/>
          <w:b w:val="0"/>
          <w:i w:val="0"/>
          <w:sz w:val="22"/>
        </w:rPr>
        <w:t>ومنذ سنة 1864 تصدر The Christadelphian Magazine شهرياً من برمنغهام في المملكة المتحدة. وتقدم مقالات تعليمية وأخباراً من الإكليسيات في أنحاء العالم. كما تُنتج كتيبات وكتب لأعضاء الجماعة وأصدقائهم. وتوجد منظمات في أماكن مختلفة من العالم لدعم الكرازة بالإنجيل في المناطق التي تكون فيها الإكليسيا صغيرة أو غير موجودة، ولجان خاصة للكرازة في بلدان أخرى. وهناك أيضاً خدمات ترسل عظات مكتوبة ودراسات كتابية إلى الأعضاء الذين يعيشون بعيداً عن أي إكليسيا.</w:t>
      </w:r>
    </w:p>
    <w:p>
      <w:pPr>
        <w:spacing w:after="100"/>
        <w:jc w:val="right"/>
        <w:bidi w:val="1"/>
      </w:pPr>
      <w:r>
        <w:rPr>
          <w:rFonts w:ascii="Noto Naskh Arabic" w:hAnsi="Noto Naskh Arabic" w:cs="Noto Naskh Arabic"/>
          <w:b w:val="0"/>
          <w:i w:val="0"/>
          <w:sz w:val="22"/>
        </w:rPr>
        <w:t>وقد عُدّت رعاية المرضى وكبار السن حاجة ملحة، ولذلك توجد دور رعاية في بلدان مختلفة. كما تُقدم تبرعات طوعية لمساعدة الأعضاء المحتاجين.</w:t>
      </w:r>
    </w:p>
    <w:p>
      <w:pPr>
        <w:spacing w:before="200" w:after="80"/>
        <w:jc w:val="right"/>
        <w:keepNext/>
        <w:bidi w:val="1"/>
      </w:pPr>
      <w:r>
        <w:rPr>
          <w:rFonts w:ascii="Noto Naskh Arabic" w:hAnsi="Noto Naskh Arabic" w:cs="Noto Naskh Arabic"/>
          <w:b/>
          <w:sz w:val="28"/>
        </w:rPr>
        <w:t>أساس مميز</w:t>
      </w:r>
    </w:p>
    <w:p>
      <w:pPr>
        <w:spacing w:after="100"/>
        <w:jc w:val="right"/>
        <w:bidi w:val="1"/>
      </w:pPr>
      <w:r>
        <w:rPr>
          <w:rFonts w:ascii="Noto Naskh Arabic" w:hAnsi="Noto Naskh Arabic" w:cs="Noto Naskh Arabic"/>
          <w:b w:val="0"/>
          <w:i w:val="0"/>
          <w:sz w:val="22"/>
        </w:rPr>
        <w:t>لكن لماذا يستحق الكريستادلفيان اهتماماً أكثر من جماعات أخرى من «المؤمنين» يدّعي كثير منها أيضاً أنه قائم على الكتاب المقدس؟</w:t>
      </w:r>
    </w:p>
    <w:p>
      <w:pPr>
        <w:spacing w:after="100"/>
        <w:jc w:val="right"/>
        <w:bidi w:val="1"/>
      </w:pPr>
      <w:r>
        <w:rPr>
          <w:rFonts w:ascii="Noto Naskh Arabic" w:hAnsi="Noto Naskh Arabic" w:cs="Noto Naskh Arabic"/>
          <w:b w:val="0"/>
          <w:i w:val="0"/>
          <w:sz w:val="22"/>
        </w:rPr>
        <w:t>الجواب المختصر هو أن فهمهم لتعاليم الكتاب المقدس يختلف اختلافاً واضحاً عن فهم طوائف أخرى. وقد نشأ هذا الاختلاف من اقتناع شخص اسمه جون توماس بأن التعاليم التي كان يواجهها في «العالم المسيحي» قبل نحو 150 سنة لا تمثل بأمانة إيمان المسيح ورسله. ولأنه اقتنع بأن الحق يجب أن يُطلب في الكتاب المقدس وحده، شرع في دراسة واعية ودقيقة للأسفار، من غير أن يدّعي رؤيا أو إعلاناً شخصياً.</w:t>
      </w:r>
    </w:p>
    <w:p>
      <w:pPr>
        <w:spacing w:after="100"/>
        <w:jc w:val="right"/>
        <w:bidi w:val="1"/>
      </w:pPr>
      <w:r>
        <w:rPr>
          <w:rFonts w:ascii="Noto Naskh Arabic" w:hAnsi="Noto Naskh Arabic" w:cs="Noto Naskh Arabic"/>
          <w:b w:val="0"/>
          <w:i w:val="0"/>
          <w:sz w:val="22"/>
        </w:rPr>
        <w:t>ومع الوقت وصل إلى فهم «البشارة بملكوت الله وباسم يسوع المسيح» (أعمال 8:12) يختلف في عدد من النقاط المهمة عن الكنائس والطوائف الدينية الأخرى. واجتذب عمله آخرين اقتنعوا بصحة استنتاجاته. ومنذ ذلك الحين خضع هذا الفهم للحقائق الكتابية لفحص حر ودقيق على مدى أجيال، والآراء المميزة للكريستادلفيان اليوم هي ثمرة هذه العملية.</w:t>
      </w:r>
    </w:p>
    <w:p>
      <w:pPr>
        <w:spacing w:before="200" w:after="80"/>
        <w:jc w:val="right"/>
        <w:keepNext/>
        <w:bidi w:val="1"/>
      </w:pPr>
      <w:r>
        <w:rPr>
          <w:rFonts w:ascii="Noto Naskh Arabic" w:hAnsi="Noto Naskh Arabic" w:cs="Noto Naskh Arabic"/>
          <w:b/>
          <w:sz w:val="28"/>
        </w:rPr>
        <w:t>الكتاب المقدس كله</w:t>
      </w:r>
    </w:p>
    <w:p>
      <w:pPr>
        <w:spacing w:after="100"/>
        <w:jc w:val="right"/>
        <w:bidi w:val="1"/>
      </w:pPr>
      <w:r>
        <w:rPr>
          <w:rFonts w:ascii="Noto Naskh Arabic" w:hAnsi="Noto Naskh Arabic" w:cs="Noto Naskh Arabic"/>
          <w:b w:val="0"/>
          <w:i w:val="0"/>
          <w:sz w:val="22"/>
        </w:rPr>
        <w:t>فما هي رسالة الكتاب المقدس، ولماذا تختلف عن الأفكار «المسيحية» الشائعة؟</w:t>
      </w:r>
    </w:p>
    <w:p>
      <w:pPr>
        <w:spacing w:after="100"/>
        <w:jc w:val="right"/>
        <w:bidi w:val="1"/>
      </w:pPr>
      <w:r>
        <w:rPr>
          <w:rFonts w:ascii="Noto Naskh Arabic" w:hAnsi="Noto Naskh Arabic" w:cs="Noto Naskh Arabic"/>
          <w:b w:val="0"/>
          <w:i w:val="0"/>
          <w:sz w:val="22"/>
        </w:rPr>
        <w:t>تنبع من مبدأ مهم: يجب فهم الكتاب المقدس ككل. فمن السهل تأييد تعليم معين إذا أخذنا بعض أجزاء الأسفار وأهملنا أجزاء أخرى. ومن الشائع اليوم مثلاً التقليل من شأن أجزاء كبيرة من العهد القديم. لكن هذه الأسفار — الشريعة والمزامير والأنبياء — قبلها يسوع ورسله بوصفها «كلمة الرب». الكتاب المقدس وحدة واحدة: يبدأ إعلان الله للبشرية في صفحات العهد القديم ويستمر ويتسع في العهد الجديد. و«مشورة الله كلها» (أعمال 20:27) تُستمد من الكتاب كله.</w:t>
      </w:r>
    </w:p>
    <w:p>
      <w:pPr>
        <w:spacing w:after="100"/>
        <w:jc w:val="right"/>
        <w:bidi w:val="1"/>
      </w:pPr>
      <w:r>
        <w:rPr>
          <w:rFonts w:ascii="Noto Naskh Arabic" w:hAnsi="Noto Naskh Arabic" w:cs="Noto Naskh Arabic"/>
          <w:b w:val="0"/>
          <w:i w:val="0"/>
          <w:sz w:val="22"/>
        </w:rPr>
        <w:t>يقبل الكريستادلفيان أن الكتاب المقدس كله هو كلمة الله الموحى بها (2 تيموثاوس 3:16)، ولذلك يقرأونه بعناية وبانتظام. وهناك خطة قراءة تسمى Bible Companion تمكّن القارئ من قراءة العهد القديم مرة في السنة والعهد الجديد مرتين.</w:t>
      </w:r>
    </w:p>
    <w:p>
      <w:pPr>
        <w:spacing w:after="100"/>
        <w:jc w:val="right"/>
        <w:bidi w:val="1"/>
      </w:pPr>
      <w:r>
        <w:rPr>
          <w:rFonts w:ascii="Noto Naskh Arabic" w:hAnsi="Noto Naskh Arabic" w:cs="Noto Naskh Arabic"/>
          <w:b w:val="0"/>
          <w:i w:val="0"/>
          <w:sz w:val="22"/>
        </w:rPr>
        <w:t>وهناك نقطة أخرى شديدة الأهمية: إذا أراد الإنسان أن يفهم الكتاب المقدس حقاً فعليه أن يكون مستعداً لصدقه الصريح في جميع القضايا، وخصوصاً في ما يتعلق بنا نحن. إنه كتاب واقعي إلى أقصى درجة، يواجه حقائق الحياة من دون أوهام مريحة. ويقيّم مشكلات الجنس البشري والأفراد بصراحة، ويشرح أصلها كما يشرح حلها. ويرى الكريستادلفيان أن الكتاب المقدس فريد في عرضه المتماسك لهذه الأمور على نحو ينسجم مع حقائق التاريخ والحياة البشرية.</w:t>
      </w:r>
    </w:p>
    <w:p>
      <w:pPr>
        <w:spacing w:before="200" w:after="80"/>
        <w:jc w:val="right"/>
        <w:keepNext/>
        <w:bidi w:val="1"/>
      </w:pPr>
      <w:r>
        <w:rPr>
          <w:rFonts w:ascii="Noto Naskh Arabic" w:hAnsi="Noto Naskh Arabic" w:cs="Noto Naskh Arabic"/>
          <w:b/>
          <w:sz w:val="28"/>
        </w:rPr>
        <w:t>الله: الخالق والآب</w:t>
      </w:r>
    </w:p>
    <w:p>
      <w:pPr>
        <w:spacing w:after="100"/>
        <w:jc w:val="right"/>
        <w:bidi w:val="1"/>
      </w:pPr>
      <w:r>
        <w:rPr>
          <w:rFonts w:ascii="Noto Naskh Arabic" w:hAnsi="Noto Naskh Arabic" w:cs="Noto Naskh Arabic"/>
          <w:b w:val="0"/>
          <w:i w:val="0"/>
          <w:sz w:val="22"/>
        </w:rPr>
        <w:t>يقدم الكتاب المقدس الله بوصفه خالق السماوات والأرض. فهو «ملك الدهور الذي لا يفنى ولا يُرى... له الكرامة والمجد إلى دهر الدهور» (1 تيموثاوس 1:17). ومع ذلك، بواسطة روحه القدس — وهو تعبير عن قوته — يدبر شؤون العالم بحسب قصده النهائي للبشرية. والقداسة والحق من صفاته؛ لا يوجد عنده خداع أو كذب، ولا ينظر بلا مبالاة إلى تمرد الإنسان المستمر. ومع ذلك يصف نفسه بأنه «إله رحيم ورؤوف، بطيء الغضب وكثير الإحسان... غافر الإثم والمعصية والخطية، ولكنه لن يبرئ إبراء» (خروج 34:6-7).</w:t>
      </w:r>
    </w:p>
    <w:p>
      <w:pPr>
        <w:spacing w:after="100"/>
        <w:jc w:val="right"/>
        <w:bidi w:val="1"/>
      </w:pPr>
      <w:r>
        <w:rPr>
          <w:rFonts w:ascii="Noto Naskh Arabic" w:hAnsi="Noto Naskh Arabic" w:cs="Noto Naskh Arabic"/>
          <w:b w:val="0"/>
          <w:i w:val="0"/>
          <w:sz w:val="22"/>
        </w:rPr>
        <w:t>هذه صورة للخالق الأزلي، كائن أخلاقي سامٍ، وهو أيضاً أب للذين يطلبونه بحسب كلمته. وليس للإنسان أن يعرفه معرفة صحيحة إلا من هذه الكلمة، أي من الكتاب المقدس.</w:t>
      </w:r>
    </w:p>
    <w:p>
      <w:pPr>
        <w:spacing w:before="200" w:after="80"/>
        <w:jc w:val="right"/>
        <w:keepNext/>
        <w:bidi w:val="1"/>
      </w:pPr>
      <w:r>
        <w:rPr>
          <w:rFonts w:ascii="Noto Naskh Arabic" w:hAnsi="Noto Naskh Arabic" w:cs="Noto Naskh Arabic"/>
          <w:b/>
          <w:sz w:val="28"/>
        </w:rPr>
        <w:t>أهمية الأرض</w:t>
      </w:r>
    </w:p>
    <w:p>
      <w:pPr>
        <w:spacing w:after="100"/>
        <w:jc w:val="right"/>
        <w:bidi w:val="1"/>
      </w:pPr>
      <w:r>
        <w:rPr>
          <w:rFonts w:ascii="Noto Naskh Arabic" w:hAnsi="Noto Naskh Arabic" w:cs="Noto Naskh Arabic"/>
          <w:b w:val="0"/>
          <w:i w:val="0"/>
          <w:sz w:val="22"/>
        </w:rPr>
        <w:t>هناك انطباع شائع بأن الكتاب المقدس لا يهتم كثيراً بالأرض وما يحدث عليها، وأن اهتمامه الأكبر هو «السماء» بوصفها مسكن الأبرار. وهذا خطأ كبير. فإعلان قصد الله يبين أنه مهتم فعلاً بالأرض وبالجنس البشري الذي عليها. وقد قال: «هكذا قال الرب خالق السماوات... مصور الأرض وصانعها... لم يخلقها باطلاً. للسكن صورها» (إشعياء 45:18).</w:t>
      </w:r>
    </w:p>
    <w:p>
      <w:pPr>
        <w:spacing w:after="100"/>
        <w:jc w:val="right"/>
        <w:bidi w:val="1"/>
      </w:pPr>
      <w:r>
        <w:rPr>
          <w:rFonts w:ascii="Noto Naskh Arabic" w:hAnsi="Noto Naskh Arabic" w:cs="Noto Naskh Arabic"/>
          <w:b w:val="0"/>
          <w:i w:val="0"/>
          <w:sz w:val="22"/>
        </w:rPr>
        <w:t>يهتم الله بالأرض كلها وبالأمم التي تسكنها. ومسيرة الإمبراطوريات العظيمة تقع تحت سيطرته ويُتنبأ بمصيرها. كما أن ضيقات العالم الحديث الشديدة كانت متوقعة، وكذلك حلها: أن يقيم الله نظاماً جديداً في الأرض، وهو الوسيلة التي ستُضبط بها ضلالات البشر.</w:t>
      </w:r>
    </w:p>
    <w:p>
      <w:pPr>
        <w:spacing w:after="100"/>
        <w:jc w:val="right"/>
        <w:bidi w:val="1"/>
      </w:pPr>
      <w:r>
        <w:rPr>
          <w:rFonts w:ascii="Noto Naskh Arabic" w:hAnsi="Noto Naskh Arabic" w:cs="Noto Naskh Arabic"/>
          <w:b w:val="0"/>
          <w:i w:val="0"/>
          <w:sz w:val="22"/>
        </w:rPr>
        <w:t>فالكتاب المقدس بعيد عن أن يكون كتاباً «يهرب من العالم»؛ إنه عملي وواقعي في اهتمامه بمصير الجنس البشري كله. ورؤيته للمستقبل عالمية: «لأن الأرض تمتلئ من معرفة مجد الرب كما تغطي المياه البحر» (حبقوق 2:14).</w:t>
      </w:r>
    </w:p>
    <w:p>
      <w:pPr>
        <w:spacing w:after="100"/>
        <w:jc w:val="right"/>
        <w:bidi w:val="1"/>
      </w:pPr>
      <w:r>
        <w:rPr>
          <w:rFonts w:ascii="Noto Naskh Arabic" w:hAnsi="Noto Naskh Arabic" w:cs="Noto Naskh Arabic"/>
          <w:b w:val="0"/>
          <w:i w:val="0"/>
          <w:sz w:val="22"/>
        </w:rPr>
        <w:t>قيلت هذه النبوة قبل المسيح بنحو ست مئة سنة، لكنها تمثل النظرة العالمية للكتاب المقدس كله. وهي مرتبطة تماماً بحالة عالمنا المضطرب اليوم، وفريدة في تاريخ كوكبنا.</w:t>
      </w:r>
    </w:p>
    <w:p>
      <w:pPr>
        <w:spacing w:before="200" w:after="80"/>
        <w:jc w:val="right"/>
        <w:keepNext/>
        <w:bidi w:val="1"/>
      </w:pPr>
      <w:r>
        <w:rPr>
          <w:rFonts w:ascii="Noto Naskh Arabic" w:hAnsi="Noto Naskh Arabic" w:cs="Noto Naskh Arabic"/>
          <w:b/>
          <w:sz w:val="28"/>
        </w:rPr>
        <w:t>إسرائيل في قصد الله</w:t>
      </w:r>
    </w:p>
    <w:p>
      <w:pPr>
        <w:spacing w:after="100"/>
        <w:jc w:val="right"/>
        <w:bidi w:val="1"/>
      </w:pPr>
      <w:r>
        <w:rPr>
          <w:rFonts w:ascii="Noto Naskh Arabic" w:hAnsi="Noto Naskh Arabic" w:cs="Noto Naskh Arabic"/>
          <w:b w:val="0"/>
          <w:i w:val="0"/>
          <w:sz w:val="22"/>
        </w:rPr>
        <w:t>لن يشك القارئ الدقيق للكتاب المقدس في أن أمة إسرائيل احتلت مكاناً خاصاً في قصد الله. لكن كثيرين يجدون اليوم صعوبة في التوفيق بين ذلك وبين طبيعة دولة إسرائيل الحديثة. فكيف نشأت هذه «العلاقة الخاصة»؟</w:t>
      </w:r>
    </w:p>
    <w:p>
      <w:pPr>
        <w:spacing w:after="100"/>
        <w:jc w:val="right"/>
        <w:bidi w:val="1"/>
      </w:pPr>
      <w:r>
        <w:rPr>
          <w:rFonts w:ascii="Noto Naskh Arabic" w:hAnsi="Noto Naskh Arabic" w:cs="Noto Naskh Arabic"/>
          <w:b w:val="0"/>
          <w:i w:val="0"/>
          <w:sz w:val="22"/>
        </w:rPr>
        <w:t>يخبرنا الكتاب المقدس أن الجنس البشري في القرون الأولى من وجوده ترك عبادة الله الحق على نطاق واسع، حتى «فسدت الأرض... وامتلأت ظلماً» (تكوين 6:11)، فجاء حكم الله بالطوفان. ولم يمض وقت طويل حتى أظهر البشر الميول نفسها إلى الشر. لذلك قصد الله أن يبني جماعة خاصة تُحفظ بواسطةها كلمته. فاختار إبراهيم، رجل الإيمان، وأعطاه وعوداً عظيمة تشمل امتلاك نسله في المستقبل أرض كنعان — فلسطين أو إسرائيل فيما بعد — وبركة جميع الأمم (تكوين 12:1-3؛ 13:14-15).</w:t>
      </w:r>
    </w:p>
    <w:p>
      <w:pPr>
        <w:spacing w:after="100"/>
        <w:jc w:val="right"/>
        <w:bidi w:val="1"/>
      </w:pPr>
      <w:r>
        <w:rPr>
          <w:rFonts w:ascii="Noto Naskh Arabic" w:hAnsi="Noto Naskh Arabic" w:cs="Noto Naskh Arabic"/>
          <w:b w:val="0"/>
          <w:i w:val="0"/>
          <w:sz w:val="22"/>
        </w:rPr>
        <w:t>أخرج الله نسل إبراهيم من مصر بقوته، واستقروا أخيراً في اثني عشر سبطاً في أرض الموعد، إسرائيل. وهناك عاشوا تحت الشريعة، وهي نظام من الأحكام أعطاهم الله بواسطة موسى لتدريبهم على أن يكونوا شعباً مكرساً لخدمته. لكن اليهود في القرون التالية أهملوا مراراً عبادة الله واتجهوا إلى أصنام جيرانهم الوثنيين، فطُردوا من أرضهم بسبب غزوات قوى أجنبية. وعاشوا قروناً مشتتين ومضطهدين كما حذرهم الله (اقرأ تثنية 28). ومع ذلك، وبرغم ضلالهم، حفظ اليهود كلمة الله في أرض إسرائيل وفي الشتات.</w:t>
      </w:r>
    </w:p>
    <w:p>
      <w:pPr>
        <w:spacing w:before="200" w:after="80"/>
        <w:jc w:val="right"/>
        <w:keepNext/>
        <w:bidi w:val="1"/>
      </w:pPr>
      <w:r>
        <w:rPr>
          <w:rFonts w:ascii="Noto Naskh Arabic" w:hAnsi="Noto Naskh Arabic" w:cs="Noto Naskh Arabic"/>
          <w:b/>
          <w:sz w:val="28"/>
        </w:rPr>
        <w:t>الوعود للآباء</w:t>
      </w:r>
    </w:p>
    <w:p>
      <w:pPr>
        <w:spacing w:after="100"/>
        <w:jc w:val="right"/>
        <w:bidi w:val="1"/>
      </w:pPr>
      <w:r>
        <w:rPr>
          <w:rFonts w:ascii="Noto Naskh Arabic" w:hAnsi="Noto Naskh Arabic" w:cs="Noto Naskh Arabic"/>
          <w:b w:val="0"/>
          <w:i w:val="0"/>
          <w:sz w:val="22"/>
        </w:rPr>
        <w:t>لكن وعود الله لإبراهيم لم تكن تتعلق بأمة إسرائيل فقط. كان سيصير «أباً لجمهور من الأمم» (تكوين 17:5)، ومن المهم أن نسلاً يهودياً معيناً كان سيضمن إتمام الوعد بالبركة لجميع الشعوب. وهذا النسل الذي ذُكر قبل وقت طويل هو الرب يسوع المسيح. والوعود اللاحقة التي أُعطيت لداود، أحد ملوك إسرائيل، أضافت تفاصيل عما سيفعله يسوع، وكيف «يعطيه الرب الإله كرسي داود أبيه، ويملك على بيت يعقوب إلى الأبد» (لوقا 1:32-33).</w:t>
      </w:r>
    </w:p>
    <w:p>
      <w:pPr>
        <w:spacing w:after="100"/>
        <w:jc w:val="right"/>
        <w:bidi w:val="1"/>
      </w:pPr>
      <w:r>
        <w:rPr>
          <w:rFonts w:ascii="Noto Naskh Arabic" w:hAnsi="Noto Naskh Arabic" w:cs="Noto Naskh Arabic"/>
          <w:b w:val="0"/>
          <w:i w:val="0"/>
          <w:sz w:val="22"/>
        </w:rPr>
        <w:t>إذن كان من قصد الله بإسرائيل أن تكون مركزاً لتدريب المؤمنين في القرون الوثنية السابقة للمسيح. ومنهم وُلد يسوع ليعلن البشارة بأن خدامه الأمناء يصيرون بالإيمان أبناء لإبراهيم ويرثون الوعود. ولهذا كتب بولس إلى أهل غلاطية: «فإن كنتم للمسيح فأنتم إذاً نسل إبراهيم، وحسب الموعد ورثة» (غلاطية 3:27-29).</w:t>
      </w:r>
    </w:p>
    <w:p>
      <w:pPr>
        <w:spacing w:before="200" w:after="80"/>
        <w:jc w:val="right"/>
        <w:keepNext/>
        <w:bidi w:val="1"/>
      </w:pPr>
      <w:r>
        <w:rPr>
          <w:rFonts w:ascii="Noto Naskh Arabic" w:hAnsi="Noto Naskh Arabic" w:cs="Noto Naskh Arabic"/>
          <w:b/>
          <w:sz w:val="28"/>
        </w:rPr>
        <w:t>الحقيقة عن الإنسان</w:t>
      </w:r>
    </w:p>
    <w:p>
      <w:pPr>
        <w:spacing w:after="100"/>
        <w:jc w:val="right"/>
        <w:bidi w:val="1"/>
      </w:pPr>
      <w:r>
        <w:rPr>
          <w:rFonts w:ascii="Noto Naskh Arabic" w:hAnsi="Noto Naskh Arabic" w:cs="Noto Naskh Arabic"/>
          <w:b w:val="0"/>
          <w:i w:val="0"/>
          <w:sz w:val="22"/>
        </w:rPr>
        <w:t>منذ فجر التاريخ بحث البشر عن أفكار مريحة عن أنفسهم وعن مصيرهم النهائي، لأنها توافق رغباتهم الطبيعية. أما الكتاب المقدس فلا يشجع أوهاماً مريحة عن الطبيعة البشرية. فهو واقعي تماماً بشأن قدراتنا وضعفاتنا. لقد خُلقنا، كما يقول، «على صورة الله»، أي مُنحنا قوى عقلية رائعة: نستطيع التفكير، ولدينا ضمير ينبهنا عند الخطأ، ولدينا إرادة تمكننا من اتخاذ قرارات تؤثر في سلوكنا وحياتنا.</w:t>
      </w:r>
    </w:p>
    <w:p>
      <w:pPr>
        <w:spacing w:after="100"/>
        <w:jc w:val="right"/>
        <w:bidi w:val="1"/>
      </w:pPr>
      <w:r>
        <w:rPr>
          <w:rFonts w:ascii="Noto Naskh Arabic" w:hAnsi="Noto Naskh Arabic" w:cs="Noto Naskh Arabic"/>
          <w:b w:val="0"/>
          <w:i w:val="0"/>
          <w:sz w:val="22"/>
        </w:rPr>
        <w:t>لكن لدينا أيضاً رغبات طبيعية قوية تطلب الإشباع: الميل إلى إرضاء أنفسنا بطرق كثيرة، واقتناء الأشياء المادية، والدفاع عن كبريائنا. وتاريخ البشر سجل للطريقة التي سمح بها الرجال والنساء لرغباتهم أن تسودهم. وكانت الخصومات والمعاناة نتيجة لا مفر منها.</w:t>
      </w:r>
    </w:p>
    <w:p>
      <w:pPr>
        <w:spacing w:before="200" w:after="80"/>
        <w:jc w:val="right"/>
        <w:keepNext/>
        <w:bidi w:val="1"/>
      </w:pPr>
      <w:r>
        <w:rPr>
          <w:rFonts w:ascii="Noto Naskh Arabic" w:hAnsi="Noto Naskh Arabic" w:cs="Noto Naskh Arabic"/>
          <w:b/>
          <w:sz w:val="28"/>
        </w:rPr>
        <w:t>الإنسان مائت</w:t>
      </w:r>
    </w:p>
    <w:p>
      <w:pPr>
        <w:spacing w:after="100"/>
        <w:jc w:val="right"/>
        <w:bidi w:val="1"/>
      </w:pPr>
      <w:r>
        <w:rPr>
          <w:rFonts w:ascii="Noto Naskh Arabic" w:hAnsi="Noto Naskh Arabic" w:cs="Noto Naskh Arabic"/>
          <w:b w:val="0"/>
          <w:i w:val="0"/>
          <w:sz w:val="22"/>
        </w:rPr>
        <w:t>لماذا تتصرف الطبيعة البشرية بهذه الطريقة؟ لأن أول البشر، بعدما أُعطوا حرية الاختيار، اختاروا إرضاء أنفسهم ورفضوا وصية الله الواضحة. كان ذلك عملاً من أعمال التمرد يسميه الكتاب المقدس «خطية». وكانت نتيجته الموات، أي الحالة التي تنتهي فيها الحياة البشرية طبيعياً بالموت. نحن نموت لأننا مائتون. وإذا تُركنا لأنفسنا «نهلك» بحسب تعبير الكتاب المقدس، أي نتوقف عن الوجود. والموتى لا يشعرون في القبر؛ لا يتألمون، بل «ينامون في تراب الأرض» (دانيال 12:2).</w:t>
      </w:r>
    </w:p>
    <w:p>
      <w:pPr>
        <w:spacing w:after="100"/>
        <w:jc w:val="right"/>
        <w:bidi w:val="1"/>
      </w:pPr>
      <w:r>
        <w:rPr>
          <w:rFonts w:ascii="Noto Naskh Arabic" w:hAnsi="Noto Naskh Arabic" w:cs="Noto Naskh Arabic"/>
          <w:b w:val="0"/>
          <w:i w:val="0"/>
          <w:sz w:val="22"/>
        </w:rPr>
        <w:t>أما الفكرة الشائعة بأن الإنسان يمتلك «نفساً خالدة» تستمر حية بعد الموت — عادة «في السماء» — فليست تعليماً كتابياً. وقد قالت لجنة تابعة لكنيسة إنجلترا في تقريرها سنة 1945 Towards the Conversion of England بوضوح إن فكرة النفس الخالدة «ترجع في أصلها إلى المصادر اليونانية لا الكتابية» (ص 23). وقد دخلت النظرية إلى تعليم الكنيسة في وقت مبكر من الوثنية، وهي مثال مهم على تغييرات أُدخلت عبر القرون على المعتقدات المسيحية الأصلية.</w:t>
      </w:r>
    </w:p>
    <w:p>
      <w:pPr>
        <w:spacing w:after="100"/>
        <w:jc w:val="right"/>
        <w:bidi w:val="1"/>
      </w:pPr>
      <w:r>
        <w:rPr>
          <w:rFonts w:ascii="Noto Naskh Arabic" w:hAnsi="Noto Naskh Arabic" w:cs="Noto Naskh Arabic"/>
          <w:b w:val="0"/>
          <w:i w:val="0"/>
          <w:sz w:val="22"/>
        </w:rPr>
        <w:t>ومع ذلك يوجد رجاء. فالقبر لا يلزم أن يكون نهايتنا، كما سنرى.</w:t>
      </w:r>
    </w:p>
    <w:p>
      <w:pPr>
        <w:spacing w:before="200" w:after="80"/>
        <w:jc w:val="right"/>
        <w:keepNext/>
        <w:bidi w:val="1"/>
      </w:pPr>
      <w:r>
        <w:rPr>
          <w:rFonts w:ascii="Noto Naskh Arabic" w:hAnsi="Noto Naskh Arabic" w:cs="Noto Naskh Arabic"/>
          <w:b/>
          <w:sz w:val="28"/>
        </w:rPr>
        <w:t>طبيعة يسوع</w:t>
      </w:r>
    </w:p>
    <w:p>
      <w:pPr>
        <w:spacing w:after="100"/>
        <w:jc w:val="right"/>
        <w:bidi w:val="1"/>
      </w:pPr>
      <w:r>
        <w:rPr>
          <w:rFonts w:ascii="Noto Naskh Arabic" w:hAnsi="Noto Naskh Arabic" w:cs="Noto Naskh Arabic"/>
          <w:b w:val="0"/>
          <w:i w:val="0"/>
          <w:sz w:val="22"/>
        </w:rPr>
        <w:t>هناك نتيجة مهمة جداً للفهم الصحيح للطبيعة البشرية: فهو يساعدنا على فهم حياة يسوع المسيح وموته ومعناهما في قصد الله لأجلنا.</w:t>
      </w:r>
    </w:p>
    <w:p>
      <w:pPr>
        <w:spacing w:after="100"/>
        <w:jc w:val="right"/>
        <w:bidi w:val="1"/>
      </w:pPr>
      <w:r>
        <w:rPr>
          <w:rFonts w:ascii="Noto Naskh Arabic" w:hAnsi="Noto Naskh Arabic" w:cs="Noto Naskh Arabic"/>
          <w:b w:val="0"/>
          <w:i w:val="0"/>
          <w:sz w:val="22"/>
        </w:rPr>
        <w:t>يصف إنجيل لوقا كيف وُلد يسوع من مريم، الشابة الإسرائيلية من الناصرة، بقوة الروح القدس. وهكذا وُلد يسوع «ابن الإنسان» من جهة أمه، وورث طبيعتنا الجسدية بالمعنى الكامل، ولذلك كان «مجرباً في كل شيء مثلنا» (عبرانيين 4:15). لكنه كان أيضاً ابن الله لأن الله كان أباه حرفياً. ومع أنه اختبر في نفسه رغبة إرضاء الذات، غلب كل تجربة. ولذلك استطاع في أزمة جثسيماني أن يخضع لأبيه قائلاً: «لتكن لا إرادتي بل إرادتك» (لوقا 22:42).</w:t>
      </w:r>
    </w:p>
    <w:p>
      <w:pPr>
        <w:spacing w:after="100"/>
        <w:jc w:val="right"/>
        <w:bidi w:val="1"/>
      </w:pPr>
      <w:r>
        <w:rPr>
          <w:rFonts w:ascii="Noto Naskh Arabic" w:hAnsi="Noto Naskh Arabic" w:cs="Noto Naskh Arabic"/>
          <w:b w:val="0"/>
          <w:i w:val="0"/>
          <w:sz w:val="22"/>
        </w:rPr>
        <w:t>كان يسوع إذاً «بلا خطية»، وصار بموته على الصليب الذبيحة النهائية عن الخطية، «حمل الله الذي يرفع خطية العالم» (يوحنا 1:29). أُنزل جسده من الصليب ودُفن. لكن الله العادل لم يترك إنساناً باراً تماماً في القبر إلى الأبد، فلم يسمح لجسده أن «يرى فساداً» (أعمال 2:31)، وأقامه في اليوم الثالث. وبعد أن مُنح يسوع طبيعة غير مائتة صار «الموت لا يسود عليه بعد» (رومية 6:9)، ثم صعد إلى السماء ليجلس عن يمين أبيه.</w:t>
      </w:r>
    </w:p>
    <w:p>
      <w:pPr>
        <w:spacing w:before="200" w:after="80"/>
        <w:jc w:val="right"/>
        <w:keepNext/>
        <w:bidi w:val="1"/>
      </w:pPr>
      <w:r>
        <w:rPr>
          <w:rFonts w:ascii="Noto Naskh Arabic" w:hAnsi="Noto Naskh Arabic" w:cs="Noto Naskh Arabic"/>
          <w:b/>
          <w:sz w:val="28"/>
        </w:rPr>
        <w:t>ابن الله، لا «الله الابن»</w:t>
      </w:r>
    </w:p>
    <w:p>
      <w:pPr>
        <w:spacing w:after="100"/>
        <w:jc w:val="right"/>
        <w:bidi w:val="1"/>
      </w:pPr>
      <w:r>
        <w:rPr>
          <w:rFonts w:ascii="Noto Naskh Arabic" w:hAnsi="Noto Naskh Arabic" w:cs="Noto Naskh Arabic"/>
          <w:b w:val="0"/>
          <w:i w:val="0"/>
          <w:sz w:val="22"/>
        </w:rPr>
        <w:t>تظهر هنا نقطة بالغة الأهمية: لم يكن موت يسوع مجرد مثال سامٍ على التضحية بالنفس، مع أنه كان ذلك أيضاً، بل كان الكفارة الحيوية عن الخطية التي تجعل الرجاء ممكناً لنا نحن الخطاة. ويرى الكريستادلفيان أن هذا الفهم تشوش في المسيحية الشعبية بسبب عقيدة الثالوث التي تبلورت بعد قرون من صعود يسوع نتيجة جدالات كنسية. والصيغ العقائدية التي عبّرت عنها قرارات لمجامع الكنيسة في القرنين الرابع والخامس. وهم يرون أن هذا التعليم لا يوجد بهذه الصورة في الكتاب المقدس.</w:t>
      </w:r>
    </w:p>
    <w:p>
      <w:pPr>
        <w:spacing w:after="100"/>
        <w:jc w:val="right"/>
        <w:bidi w:val="1"/>
      </w:pPr>
      <w:r>
        <w:rPr>
          <w:rFonts w:ascii="Noto Naskh Arabic" w:hAnsi="Noto Naskh Arabic" w:cs="Noto Naskh Arabic"/>
          <w:b w:val="0"/>
          <w:i w:val="0"/>
          <w:sz w:val="22"/>
        </w:rPr>
        <w:t>وفكرة وجود «الله الابن» أزلياً في السماء تغيّر، بحسب هذا الفهم، المعنى الحيوي لاختبار يسوع بوصفه ابن الإنسان المسؤول والمطيع، وهو في الوقت نفسه ابن الله، فتضعف الدلالة الحقيقية لحياته وموته باعتبارهما كفارة عن الخطية تمت مرة واحدة.</w:t>
      </w:r>
    </w:p>
    <w:p>
      <w:pPr>
        <w:spacing w:after="100"/>
        <w:jc w:val="right"/>
        <w:bidi w:val="1"/>
      </w:pPr>
      <w:r>
        <w:rPr>
          <w:rFonts w:ascii="Noto Naskh Arabic" w:hAnsi="Noto Naskh Arabic" w:cs="Noto Naskh Arabic"/>
          <w:b w:val="0"/>
          <w:i w:val="0"/>
          <w:sz w:val="22"/>
        </w:rPr>
        <w:t>وبالمثل لا يقدم الكتاب المقدس الروح القدس بوصفه «شخصاً ثالثاً» في ثالوث، بل بوصفه قوة الله التي يحقق بها مقاصده الجسدية والروحية. فهو دائماً تحت سيطرة الآب، ثم أُعطي أيضاً للابن، ولا يُعرض كعامل مستقل عنهما أو موضوع للعبادة.</w:t>
      </w:r>
    </w:p>
    <w:p>
      <w:pPr>
        <w:spacing w:after="100"/>
        <w:jc w:val="right"/>
        <w:bidi w:val="1"/>
      </w:pPr>
      <w:r>
        <w:rPr>
          <w:rFonts w:ascii="Noto Naskh Arabic" w:hAnsi="Noto Naskh Arabic" w:cs="Noto Naskh Arabic"/>
          <w:b w:val="0"/>
          <w:i w:val="0"/>
          <w:sz w:val="22"/>
        </w:rPr>
        <w:t>وهكذا يرى الكريستادلفيان أن الفهم الصحيح للطبيعة البشرية، ومن ثم لطبيعة يسوع، يقع في قلب قصد الله في المسيح لفداء الرجال والنساء من الخطية والموت. إنه جوهر الإنجيل، وفي الكتاب المقدس يجدون هذه الحقائق الحيوية عن يسوع المسيح.</w:t>
      </w:r>
    </w:p>
    <w:p>
      <w:pPr>
        <w:spacing w:before="200" w:after="80"/>
        <w:jc w:val="right"/>
        <w:keepNext/>
        <w:bidi w:val="1"/>
      </w:pPr>
      <w:r>
        <w:rPr>
          <w:rFonts w:ascii="Noto Naskh Arabic" w:hAnsi="Noto Naskh Arabic" w:cs="Noto Naskh Arabic"/>
          <w:b/>
          <w:sz w:val="28"/>
        </w:rPr>
        <w:t>إبليس والشيطان</w:t>
      </w:r>
    </w:p>
    <w:p>
      <w:pPr>
        <w:spacing w:after="100"/>
        <w:jc w:val="right"/>
        <w:bidi w:val="1"/>
      </w:pPr>
      <w:r>
        <w:rPr>
          <w:rFonts w:ascii="Noto Naskh Arabic" w:hAnsi="Noto Naskh Arabic" w:cs="Noto Naskh Arabic"/>
          <w:b w:val="0"/>
          <w:i w:val="0"/>
          <w:sz w:val="22"/>
        </w:rPr>
        <w:t>يساعد فهم حقيقة الطبيعة البشرية أيضاً على فهم كلمتي «إبليس» و«الشيطان» في الكتاب المقدس. فقد ارتبطت بهما عبر زمن طويل خرافات بشرية عن روح شرير يعمل ضد الله ويجرب البشر. ويرى الكريستادلفيان أن هذا التصور الشعبي لم ينشأ من الكتاب المقدس بل من أفكار وثنية سبقت العصر المسيحي.</w:t>
      </w:r>
    </w:p>
    <w:p>
      <w:pPr>
        <w:spacing w:after="100"/>
        <w:jc w:val="right"/>
        <w:bidi w:val="1"/>
      </w:pPr>
      <w:r>
        <w:rPr>
          <w:rFonts w:ascii="Noto Naskh Arabic" w:hAnsi="Noto Naskh Arabic" w:cs="Noto Naskh Arabic"/>
          <w:b w:val="0"/>
          <w:i w:val="0"/>
          <w:sz w:val="22"/>
        </w:rPr>
        <w:t>وعندما يستعمل كتبة الكتاب المقدس هذين المصطلحين في مواضع معينة، فهم يرون أنهما يمثلان خصومة الشر، وبخاصة ميول الطبيعة البشرية الخاطئة. ومن اللافت أن الخطاة في الكتاب المقدس لا يُشجعون على إلقاء مسؤولية إخفاقاتهم على كائن آخر، بل يُدعون إلى الاعتراف بمسؤوليتهم. والعدو المستمر لله هو فكر الإنسان حين يطالب بإشباع رغباته بعيداً عن إرادة الله.</w:t>
      </w:r>
    </w:p>
    <w:p>
      <w:pPr>
        <w:spacing w:after="100"/>
        <w:jc w:val="right"/>
        <w:bidi w:val="1"/>
      </w:pPr>
      <w:r>
        <w:rPr>
          <w:rFonts w:ascii="Noto Naskh Arabic" w:hAnsi="Noto Naskh Arabic" w:cs="Noto Naskh Arabic"/>
          <w:b w:val="0"/>
          <w:i w:val="0"/>
          <w:sz w:val="22"/>
        </w:rPr>
        <w:t>ويحرر هذا التعليم، في نظرهم، الإنسان من الخوف من إبليس خارق للطبيعة، ويوضح أين يوجد عدو الله الحقيقي الذي يجب مقاومته.</w:t>
      </w:r>
    </w:p>
    <w:p>
      <w:pPr>
        <w:spacing w:before="200" w:after="80"/>
        <w:jc w:val="right"/>
        <w:keepNext/>
        <w:bidi w:val="1"/>
      </w:pPr>
      <w:r>
        <w:rPr>
          <w:rFonts w:ascii="Noto Naskh Arabic" w:hAnsi="Noto Naskh Arabic" w:cs="Noto Naskh Arabic"/>
          <w:b/>
          <w:sz w:val="28"/>
        </w:rPr>
        <w:t>البشارة</w:t>
      </w:r>
    </w:p>
    <w:p>
      <w:pPr>
        <w:spacing w:after="100"/>
        <w:jc w:val="right"/>
        <w:bidi w:val="1"/>
      </w:pPr>
      <w:r>
        <w:rPr>
          <w:rFonts w:ascii="Noto Naskh Arabic" w:hAnsi="Noto Naskh Arabic" w:cs="Noto Naskh Arabic"/>
          <w:b w:val="0"/>
          <w:i w:val="0"/>
          <w:sz w:val="22"/>
        </w:rPr>
        <w:t>رأينا أن الكتاب المقدس يكشف ضعف الطبيعة البشرية ونهايتها في القبر. لكن ليس من الضروري أن تكون هذه هي النهاية، لأن الإنجيل رسالة رجاء. فهو «قوة الله للخلاص» (رومية 1:16)، أي النجاة من الخطية ومن نتيجتها، الموت. ولهذا فالإنجيل الكتابي هو «بشارة» حقيقية.</w:t>
      </w:r>
    </w:p>
    <w:p>
      <w:pPr>
        <w:spacing w:after="100"/>
        <w:jc w:val="right"/>
        <w:bidi w:val="1"/>
      </w:pPr>
      <w:r>
        <w:rPr>
          <w:rFonts w:ascii="Noto Naskh Arabic" w:hAnsi="Noto Naskh Arabic" w:cs="Noto Naskh Arabic"/>
          <w:b w:val="0"/>
          <w:i w:val="0"/>
          <w:sz w:val="22"/>
        </w:rPr>
        <w:t>تتوجه رسالته إلى كل رجل وامرأة بنداء إلى «التوبة» ثم بوعد للحياة. يقول بطرس إن الله لا يشاء أن يهلك أحد «بل أن يقبل الجميع إلى التوبة» (2 بطرس 3:9). ويضيء بولس معنى ذلك بقوله إن الله يريد أن «يقبلوا إلى معرفة الحق» (1 تيموثاوس 2:4). وبعد أن يدرك المؤمن «الحق» عن نفسه وعن فداء الله في المسيح، يدعوه الله إلى تغيير فكره واتجاهه.</w:t>
      </w:r>
    </w:p>
    <w:p>
      <w:pPr>
        <w:spacing w:after="100"/>
        <w:jc w:val="right"/>
        <w:bidi w:val="1"/>
      </w:pPr>
      <w:r>
        <w:rPr>
          <w:rFonts w:ascii="Noto Naskh Arabic" w:hAnsi="Noto Naskh Arabic" w:cs="Noto Naskh Arabic"/>
          <w:b w:val="0"/>
          <w:i w:val="0"/>
          <w:sz w:val="22"/>
        </w:rPr>
        <w:t>فالتوبة ليست موجة عاطفية مفاجئة قد تزول بالسرعة التي جاءت بها، بل تقييم هادئ وصادق للموقف الحقيقي، واعتراف بالخطية أمام الله، وصلاة للغفران، وعزم على إعادة توجيه الحياة وفق وصايا المسيح.</w:t>
      </w:r>
    </w:p>
    <w:p>
      <w:pPr>
        <w:spacing w:before="200" w:after="80"/>
        <w:jc w:val="right"/>
        <w:keepNext/>
        <w:bidi w:val="1"/>
      </w:pPr>
      <w:r>
        <w:rPr>
          <w:rFonts w:ascii="Noto Naskh Arabic" w:hAnsi="Noto Naskh Arabic" w:cs="Noto Naskh Arabic"/>
          <w:b/>
          <w:sz w:val="28"/>
        </w:rPr>
        <w:t>المعمودية</w:t>
      </w:r>
    </w:p>
    <w:p>
      <w:pPr>
        <w:spacing w:after="100"/>
        <w:jc w:val="right"/>
        <w:bidi w:val="1"/>
      </w:pPr>
      <w:r>
        <w:rPr>
          <w:rFonts w:ascii="Noto Naskh Arabic" w:hAnsi="Noto Naskh Arabic" w:cs="Noto Naskh Arabic"/>
          <w:b w:val="0"/>
          <w:i w:val="0"/>
          <w:sz w:val="22"/>
        </w:rPr>
        <w:t>عندما وصل المؤمنون بالمسيح في زمن الرسل إلى هذا الفهم كانوا «يعتمدون» بالتغطيس الكامل في الماء. وهكذا كانوا «مدفونين معه في المعمودية» (كولوسي 2:12)، فيموتون معه رمزياً كما مات على الصليب، وكما قام هو من الأموات إلى حياة غير مائتة يقومون هم من ماء المعمودية إلى «جدة الحياة». ويرى الكريستادلفيان أن هذا ما يزال مطلوباً من المؤمنين الصادقين اليوم، إذ لم تظهر بعد زمن الرسل سلطة تملك حق تغييره.</w:t>
      </w:r>
    </w:p>
    <w:p>
      <w:pPr>
        <w:spacing w:after="100"/>
        <w:jc w:val="right"/>
        <w:bidi w:val="1"/>
      </w:pPr>
      <w:r>
        <w:rPr>
          <w:rFonts w:ascii="Noto Naskh Arabic" w:hAnsi="Noto Naskh Arabic" w:cs="Noto Naskh Arabic"/>
          <w:b w:val="0"/>
          <w:i w:val="0"/>
          <w:sz w:val="22"/>
        </w:rPr>
        <w:t>والله في نعمته ورحمته مستعد أن يقبل الذين يتخذون هذا الموقف، فيغفر خطاياهم ويدخلهم في شركة معه. وهكذا، بعد أن كانوا غرباء عنه بسبب الخطية، يصير المؤمنون الصادقون أبناء وبنات لله بالطاعة والإيمان، وورثة للحياة الأبدية بحسب وعده.</w:t>
      </w:r>
    </w:p>
    <w:p>
      <w:pPr>
        <w:spacing w:after="100"/>
        <w:jc w:val="right"/>
        <w:bidi w:val="1"/>
      </w:pPr>
      <w:r>
        <w:rPr>
          <w:rFonts w:ascii="Noto Naskh Arabic" w:hAnsi="Noto Naskh Arabic" w:cs="Noto Naskh Arabic"/>
          <w:b w:val="0"/>
          <w:i w:val="0"/>
          <w:sz w:val="22"/>
        </w:rPr>
        <w:t>وحتى إذا أدركهم الموت، يموتون على رجاء أكيد بالقيامة من القبر في يوم عودة المسيح. ومكافأة الأمناء هي عطية طبيعة لا تموت؛ وكما قال يسوع يكونون «مثل الملائكة» ولا يستطيعون أن يموتوا بعد (لوقا 20:35-36). وإذا كانوا أحياء يوم رجوع الرب وقيامة الأموات، يتغير جسد الخدام الأمناء من الموات إلى عدم الموت. وهكذا يتحقق أشهر قول في العهد الجديد: «لأنه هكذا أحب الله العالم حتى بذل ابنه الوحيد، لكي لا يهلك كل من يؤمن به بل تكون له الحياة الأبدية» (يوحنا 3:16).</w:t>
      </w:r>
    </w:p>
    <w:p>
      <w:pPr>
        <w:spacing w:before="200" w:after="80"/>
        <w:jc w:val="right"/>
        <w:keepNext/>
        <w:bidi w:val="1"/>
      </w:pPr>
      <w:r>
        <w:rPr>
          <w:rFonts w:ascii="Noto Naskh Arabic" w:hAnsi="Noto Naskh Arabic" w:cs="Noto Naskh Arabic"/>
          <w:b/>
          <w:sz w:val="28"/>
        </w:rPr>
        <w:t>ملكوت الله</w:t>
      </w:r>
    </w:p>
    <w:p>
      <w:pPr>
        <w:spacing w:after="100"/>
        <w:jc w:val="right"/>
        <w:bidi w:val="1"/>
      </w:pPr>
      <w:r>
        <w:rPr>
          <w:rFonts w:ascii="Noto Naskh Arabic" w:hAnsi="Noto Naskh Arabic" w:cs="Noto Naskh Arabic"/>
          <w:b w:val="0"/>
          <w:i w:val="0"/>
          <w:sz w:val="22"/>
        </w:rPr>
        <w:t>عندما تُفهم حقيقة الطبيعة البشرية يصبح من السهل فهم سبب فشل الحكومات البشرية عبر القرون في إقامة سلام دائم في الأرض. فعقول البشر عاجزة عن حل المشكلات الشديدة التي نشأت، لكن الكتاب المقدس منذ البداية أعلن حلها: تدخل الله في شؤون البشر في لحظة حاسمة من التاريخ هو من النبوات الأساسية في الكتاب.</w:t>
      </w:r>
    </w:p>
    <w:p>
      <w:pPr>
        <w:spacing w:after="100"/>
        <w:jc w:val="right"/>
        <w:bidi w:val="1"/>
      </w:pPr>
      <w:r>
        <w:rPr>
          <w:rFonts w:ascii="Noto Naskh Arabic" w:hAnsi="Noto Naskh Arabic" w:cs="Noto Naskh Arabic"/>
          <w:b w:val="0"/>
          <w:i w:val="0"/>
          <w:sz w:val="22"/>
        </w:rPr>
        <w:t>وكان رجوع يسوع المسيح إلى الأرض رجوعاً حقيقياً كما غادرها رجاءً مشتركاً بين المؤمنين الأوائل. وتراجع هذا الرجاء في الكنائس خلال القرون الأولى، جزئياً لأن المسيح لم يأت بالسرعة التي توقعها بعض الناس، وأكثر لأن الرجوع إلى الأرض لم ينسجم مع الفكرة الشائعة عن أن الأبرار ينالون مكافأتهم في السماء عند الموت. لكن العهد الجديد يؤكد المجيء الثاني مراراً، والرسل يفترضونه أمراً أساسياً في كتاباتهم.</w:t>
      </w:r>
    </w:p>
    <w:p>
      <w:pPr>
        <w:spacing w:before="200" w:after="80"/>
        <w:jc w:val="right"/>
        <w:keepNext/>
        <w:bidi w:val="1"/>
      </w:pPr>
      <w:r>
        <w:rPr>
          <w:rFonts w:ascii="Noto Naskh Arabic" w:hAnsi="Noto Naskh Arabic" w:cs="Noto Naskh Arabic"/>
          <w:b/>
          <w:sz w:val="28"/>
        </w:rPr>
        <w:t>عندما يأتي المسيح...</w:t>
      </w:r>
    </w:p>
    <w:p>
      <w:pPr>
        <w:spacing w:after="100"/>
        <w:jc w:val="right"/>
        <w:bidi w:val="1"/>
      </w:pPr>
      <w:r>
        <w:rPr>
          <w:rFonts w:ascii="Noto Naskh Arabic" w:hAnsi="Noto Naskh Arabic" w:cs="Noto Naskh Arabic"/>
          <w:b w:val="0"/>
          <w:i w:val="0"/>
          <w:sz w:val="22"/>
        </w:rPr>
        <w:t>سيكون قصد رجوع المسيح إعادة سلطان الله إلى الأرض. أولاً يأتي الدينونة، وهي أيضاً تعليم كتابي واضح يُرفض اليوم في أوساط كثيرة. كتب بولس لتيموثاوس أن يسوع «سيدين الأحياء والأموات عند ظهوره وملكوته» (2 تيموثاوس 4:1). وبعد القيامة سيقف الذين فهموا إنجيل نعمة الله «أمام كرسي المسيح» ليأخذ كل واحد ما فعله في الجسد «خيراً كان أم شراً» (2 كورنثوس 5:10).</w:t>
      </w:r>
    </w:p>
    <w:p>
      <w:pPr>
        <w:spacing w:after="100"/>
        <w:jc w:val="right"/>
        <w:bidi w:val="1"/>
      </w:pPr>
      <w:r>
        <w:rPr>
          <w:rFonts w:ascii="Noto Naskh Arabic" w:hAnsi="Noto Naskh Arabic" w:cs="Noto Naskh Arabic"/>
          <w:b w:val="0"/>
          <w:i w:val="0"/>
          <w:sz w:val="22"/>
        </w:rPr>
        <w:t>ثم يأتي دور الأمم، التي تُدعى إلى أن «خافوا الله وأعطوه مجداً، لأنه قد جاءت ساعة دينونته» (رؤيا 14:7). ويعلن الكتاب المقدس أن حكومات أمم كثيرة سترفض الدعوة وستتعلم الخضوع بالقوة. وهكذا تبدأ إعادة تعليم شعوب الأرض تحت ملكوت الله الجديد والمسيح ملكاً. وعندما تُفهم إرادة الله وتُطاع، يأتي أخيراً السلام والعدل بين البشر في الأرض.</w:t>
      </w:r>
    </w:p>
    <w:p>
      <w:pPr>
        <w:spacing w:before="200" w:after="80"/>
        <w:jc w:val="right"/>
        <w:keepNext/>
        <w:bidi w:val="1"/>
      </w:pPr>
      <w:r>
        <w:rPr>
          <w:rFonts w:ascii="Noto Naskh Arabic" w:hAnsi="Noto Naskh Arabic" w:cs="Noto Naskh Arabic"/>
          <w:b/>
          <w:sz w:val="28"/>
        </w:rPr>
        <w:t>حياة التلمذة</w:t>
      </w:r>
    </w:p>
    <w:p>
      <w:pPr>
        <w:spacing w:after="100"/>
        <w:jc w:val="right"/>
        <w:bidi w:val="1"/>
      </w:pPr>
      <w:r>
        <w:rPr>
          <w:rFonts w:ascii="Noto Naskh Arabic" w:hAnsi="Noto Naskh Arabic" w:cs="Noto Naskh Arabic"/>
          <w:b w:val="0"/>
          <w:i w:val="0"/>
          <w:sz w:val="22"/>
        </w:rPr>
        <w:t>الإيمان بالإنجيل كما يقدمه الكتاب المقدس يحدث تغييراً واضحاً في النظرة إلى الحياة. فالتابع الحقيقي للمسيح يدخل بُعداً جديداً في حياته: إرادة الله هي العليا، والمسيح ملكه. والملكوت الذي سيقيمه المسيح عند مجيئه الثاني هو الملكوت الذي ينتمي إليه.</w:t>
      </w:r>
    </w:p>
    <w:p>
      <w:pPr>
        <w:spacing w:after="100"/>
        <w:jc w:val="right"/>
        <w:bidi w:val="1"/>
      </w:pPr>
      <w:r>
        <w:rPr>
          <w:rFonts w:ascii="Noto Naskh Arabic" w:hAnsi="Noto Naskh Arabic" w:cs="Noto Naskh Arabic"/>
          <w:b w:val="0"/>
          <w:i w:val="0"/>
          <w:sz w:val="22"/>
        </w:rPr>
        <w:t>وبحسب الوصية الرسولية «اخضعوا لكل ترتيب بشري من أجل الرب» (1 بطرس 2:13)، يطيع المؤمن قوانين السلطات ما لم تتعارض مع شريعة الله. وعند التعارض يتبع قول بطرس: «ينبغي أن يطاع الله أكثر من الناس» (أعمال 5:29). وعندما تدخل أمته الحرب، فإن المؤمن الذي يقبل تعليم العهد الجديد لا يستطيع، بحسب فهم الكريستادلفيان، أن يقاتل لحكومة بشرية أو يخرج ليقتل إنساناً آخر. ولهذا للكريستادلفيان تاريخ طويل في رفض الخدمة المسلحة، وقد اعترفت حكومات كثيرة بصدق ضمائرهم.</w:t>
      </w:r>
    </w:p>
    <w:p>
      <w:pPr>
        <w:spacing w:before="200" w:after="80"/>
        <w:jc w:val="right"/>
        <w:keepNext/>
        <w:bidi w:val="1"/>
      </w:pPr>
      <w:r>
        <w:rPr>
          <w:rFonts w:ascii="Noto Naskh Arabic" w:hAnsi="Noto Naskh Arabic" w:cs="Noto Naskh Arabic"/>
          <w:b/>
          <w:sz w:val="28"/>
        </w:rPr>
        <w:t>سلام الذهن</w:t>
      </w:r>
    </w:p>
    <w:p>
      <w:pPr>
        <w:spacing w:after="100"/>
        <w:jc w:val="right"/>
        <w:bidi w:val="1"/>
      </w:pPr>
      <w:r>
        <w:rPr>
          <w:rFonts w:ascii="Noto Naskh Arabic" w:hAnsi="Noto Naskh Arabic" w:cs="Noto Naskh Arabic"/>
          <w:b w:val="0"/>
          <w:i w:val="0"/>
          <w:sz w:val="22"/>
        </w:rPr>
        <w:t>لكن الأثر الأعظم يظهر في الحياة الشخصية للمؤمن. فقد انفتحت عيناه على حب الذات والطمع والكبرياء الواضحة في المجتمع البشري، وله مثال المسيح الذي وضع هذه الرغبات الطبيعية جانباً لكي يفعل إرادة الله. وإذ يدرك النعمة العظيمة التي نالها في غفران خطاياه وفي المصالحة مع الله، يسعى خادم المسيح إلى إظهار المحبة والرحمة واللطف نفسها للآخرين، وإلى قول الحق والتصرف بأمانة في جميع معاملاته. ومع أن المثل الأعلى لا يتحقق دائماً بسبب ضعف البشر، فإن الاعتراف به ينتج موقفاً هادئاً ومسالمًا يمنح راحة كبيرة في عصر مضطرب.</w:t>
      </w:r>
    </w:p>
    <w:p>
      <w:pPr>
        <w:spacing w:after="100"/>
        <w:jc w:val="right"/>
        <w:bidi w:val="1"/>
      </w:pPr>
      <w:r>
        <w:rPr>
          <w:rFonts w:ascii="Noto Naskh Arabic" w:hAnsi="Noto Naskh Arabic" w:cs="Noto Naskh Arabic"/>
          <w:b w:val="0"/>
          <w:i w:val="0"/>
          <w:sz w:val="22"/>
        </w:rPr>
        <w:t>يعرف الكريستادلفيان من الأسفار أن العصر الحاضر الذي يسيطر فيه الإنسان يقترب من نهايته. وما دام الوقت باقياً، يدعون الجميع إلى فحص تعاليم الكتاب المقدس الحقيقية، أو إعادة فحصها. وعندما يفهم الباحث الصادق «الحق» سيقدّر النظرة الجديدة التي اكتسبها إلى حياته وإلى العالم عموماً. وسيكون أقدر على مواجهة الحياة كما هي، بفرحها وحزنها، متقوياً بالإيمان بقوة الله وبصدق كلمته، ومسنوداً بالثقة بأن الله أب رحيم وأن يسوع شفيعه. وفي حياة الخدمة والإيمان هذه يجد أيضاً تشجيع شركة الآخرين الذين يؤمنون بالأمور نفسها.</w:t>
      </w:r>
    </w:p>
    <w:p>
      <w:pPr>
        <w:spacing w:after="100"/>
        <w:jc w:val="right"/>
        <w:bidi w:val="1"/>
      </w:pPr>
      <w:r>
        <w:rPr>
          <w:rFonts w:ascii="Noto Naskh Arabic" w:hAnsi="Noto Naskh Arabic" w:cs="Noto Naskh Arabic"/>
          <w:b w:val="0"/>
          <w:i w:val="0"/>
          <w:sz w:val="22"/>
        </w:rPr>
        <w:t>ما زال الله يدعو شعباً لملكوته. ومستقبلك يعتمد على استجابتك!</w:t>
      </w:r>
    </w:p>
    <w:p>
      <w:pPr>
        <w:spacing w:after="100"/>
        <w:jc w:val="right"/>
        <w:bidi w:val="1"/>
      </w:pPr>
      <w:r>
        <w:rPr>
          <w:rFonts w:ascii="Noto Naskh Arabic" w:hAnsi="Noto Naskh Arabic" w:cs="Noto Naskh Arabic"/>
          <w:b w:val="0"/>
          <w:i/>
          <w:sz w:val="21"/>
        </w:rPr>
        <w:t>— فِرِد بيرس</w:t>
      </w:r>
    </w:p>
    <w:p>
      <w:pPr>
        <w:spacing w:after="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من هم الكريستادلفيان؟</dc:title>
  <dc:subject>ترجمة عربية لكتيب Who are the Christadelphians?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