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27</w:t>
      </w:r>
    </w:p>
    <w:p>
      <w:pPr>
        <w:jc w:val="center"/>
        <w:bidi w:val="1"/>
      </w:pPr>
      <w:r>
        <w:rPr>
          <w:rFonts w:ascii="Arial" w:hAnsi="Arial" w:cs="Arial"/>
          <w:b/>
          <w:i w:val="0"/>
          <w:color w:val="1F4E79"/>
          <w:sz w:val="36"/>
        </w:rPr>
        <w:t>الحياة الأبدية</w:t>
      </w:r>
    </w:p>
    <w:p>
      <w:pPr>
        <w:spacing w:after="100"/>
        <w:jc w:val="center"/>
        <w:bidi w:val="1"/>
      </w:pPr>
      <w:r>
        <w:rPr>
          <w:rFonts w:ascii="Arial" w:hAnsi="Arial" w:cs="Arial"/>
          <w:b/>
          <w:i w:val="0"/>
          <w:color w:val="333333"/>
          <w:sz w:val="20"/>
        </w:rPr>
        <w:t>القراءة  •  يوحنا 3</w:t>
      </w:r>
    </w:p>
    <w:p>
      <w:pPr>
        <w:spacing w:before="80" w:after="30"/>
        <w:jc w:val="right"/>
        <w:keepNext/>
        <w:bidi w:val="1"/>
      </w:pPr>
      <w:r>
        <w:rPr>
          <w:rFonts w:ascii="Arial" w:hAnsi="Arial" w:cs="Arial"/>
          <w:b/>
          <w:i w:val="0"/>
          <w:color w:val="1F4E79"/>
          <w:sz w:val="25"/>
        </w:rPr>
        <w:t>الإنجيل يقدم الحياة</w:t>
      </w:r>
    </w:p>
    <w:p>
      <w:pPr>
        <w:spacing w:after="44" w:line="240" w:lineRule="auto"/>
        <w:jc w:val="right"/>
        <w:bidi w:val="1"/>
      </w:pPr>
      <w:r>
        <w:rPr>
          <w:rFonts w:ascii="Arial" w:hAnsi="Arial" w:cs="Arial"/>
          <w:b w:val="0"/>
          <w:i w:val="0"/>
          <w:sz w:val="20"/>
        </w:rPr>
        <w:t>الحياة البشرية مائتة وتنتهي بالموت. والرسالة الرائعة للإنجيل هي أن الله يقدم الحياة الأبدية من خلال ابنه الرب يسوع المسيح. إنها عطية نعمة، لا شيئاً يستطيع أحد منا أن يكسبه.</w:t>
      </w:r>
    </w:p>
    <w:p>
      <w:pPr>
        <w:spacing w:before="80" w:after="30"/>
        <w:jc w:val="right"/>
        <w:keepNext/>
        <w:bidi w:val="1"/>
      </w:pPr>
      <w:r>
        <w:rPr>
          <w:rFonts w:ascii="Arial" w:hAnsi="Arial" w:cs="Arial"/>
          <w:b/>
          <w:i w:val="0"/>
          <w:color w:val="1F4E79"/>
          <w:sz w:val="25"/>
        </w:rPr>
        <w:t>الإنسان المائت ورجاء عدم الموت</w:t>
      </w:r>
    </w:p>
    <w:p>
      <w:pPr>
        <w:spacing w:after="44" w:line="240" w:lineRule="auto"/>
        <w:jc w:val="right"/>
        <w:bidi w:val="1"/>
      </w:pPr>
      <w:r>
        <w:rPr>
          <w:rFonts w:ascii="Arial" w:hAnsi="Arial" w:cs="Arial"/>
          <w:b w:val="0"/>
          <w:i w:val="0"/>
          <w:sz w:val="20"/>
        </w:rPr>
        <w:t>تكوّن آدم من تراب الأرض ونال نسمة الحياة من الله. وعندما أخطأ آدم وحواء دخل الموت إلى خبرة البشر. ويشترك نسلهم في الطبيعة المائتة، وكلنا أيضاً نخطئ. وكما يقول بولس: «اجتاز الموت إلى جميع الناس إذ أخطأ الجميع» (رومية 5:12).</w:t>
      </w:r>
    </w:p>
    <w:p>
      <w:pPr>
        <w:spacing w:after="44" w:line="240" w:lineRule="auto"/>
        <w:jc w:val="right"/>
        <w:bidi w:val="1"/>
      </w:pPr>
      <w:r>
        <w:rPr>
          <w:rFonts w:ascii="Arial" w:hAnsi="Arial" w:cs="Arial"/>
          <w:b w:val="0"/>
          <w:i w:val="0"/>
          <w:sz w:val="20"/>
        </w:rPr>
        <w:t>كان يسوع مختلفاً في أمر حاسم: مع أنه شارك طبيعتنا البشرية المائتة، لم يخطئ قط. أقامه الله من الموت وهو الآن لا يموت أيضاً.</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«عالمين أن المسيح بعدما أقيم من الأموات لا يموت أيضاً. لا يسود عليه الموت بعد.»</w:t>
            </w:r>
          </w:p>
          <w:p>
            <w:pPr>
              <w:spacing w:after="0"/>
              <w:jc w:val="right"/>
              <w:bidi w:val="1"/>
            </w:pPr>
            <w:r>
              <w:rPr>
                <w:rFonts w:ascii="Arial" w:hAnsi="Arial" w:cs="Arial"/>
                <w:b/>
                <w:i w:val="0"/>
                <w:color w:val="333333"/>
                <w:sz w:val="17"/>
              </w:rPr>
              <w:t>رومية 6:9  •  King James Version</w:t>
            </w:r>
          </w:p>
        </w:tc>
      </w:tr>
    </w:tbl>
    <w:p>
      <w:pPr>
        <w:spacing w:before="80" w:after="30"/>
        <w:jc w:val="right"/>
        <w:keepNext/>
        <w:bidi w:val="1"/>
      </w:pPr>
      <w:r>
        <w:rPr>
          <w:rFonts w:ascii="Arial" w:hAnsi="Arial" w:cs="Arial"/>
          <w:b/>
          <w:i w:val="0"/>
          <w:color w:val="1F4E79"/>
          <w:sz w:val="25"/>
        </w:rPr>
        <w:t>الله مصدر الحياة غير المائتة</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«الذي وحده له عدم الموت، ساكناً في نور لا يُدنى منه، الذي لم يره أحد من الناس ولا يقدر أن يراه، الذي له الكرامة والقدرة الأبدية. آمين.»</w:t>
            </w:r>
          </w:p>
          <w:p>
            <w:pPr>
              <w:spacing w:after="0"/>
              <w:jc w:val="right"/>
              <w:bidi w:val="1"/>
            </w:pPr>
            <w:r>
              <w:rPr>
                <w:rFonts w:ascii="Arial" w:hAnsi="Arial" w:cs="Arial"/>
                <w:b/>
                <w:i w:val="0"/>
                <w:color w:val="333333"/>
                <w:sz w:val="17"/>
              </w:rPr>
              <w:t>تيموثاوس الأولى 6:16  •  King James Version</w:t>
            </w:r>
          </w:p>
        </w:tc>
      </w:tr>
    </w:tbl>
    <w:p>
      <w:pPr>
        <w:spacing w:after="44" w:line="240" w:lineRule="auto"/>
        <w:jc w:val="right"/>
        <w:bidi w:val="1"/>
      </w:pPr>
      <w:r>
        <w:rPr>
          <w:rFonts w:ascii="Arial" w:hAnsi="Arial" w:cs="Arial"/>
          <w:b w:val="0"/>
          <w:i w:val="0"/>
          <w:sz w:val="20"/>
        </w:rPr>
        <w:t>لا يعني هذا أن لا كائن آخر يمكنه أن يعيش إلى الأبد؛ بل أن الله وحده غير مائت بطبيعته وهو مصدر الحياة للآخرين. وقد نال الرب يسوع حياة فوق سلطان الموت، ويقول عن المستحقين للقيامة إنهم «لا يستطيعون أن يموتوا أيضاً» ويكونون مثل الملائكة (لوقا 20:36).</w:t>
      </w:r>
    </w:p>
    <w:p>
      <w:pPr>
        <w:spacing w:before="80" w:after="30"/>
        <w:jc w:val="right"/>
        <w:keepNext/>
        <w:bidi w:val="1"/>
      </w:pPr>
      <w:r>
        <w:rPr>
          <w:rFonts w:ascii="Arial" w:hAnsi="Arial" w:cs="Arial"/>
          <w:b/>
          <w:i w:val="0"/>
          <w:color w:val="1F4E79"/>
          <w:sz w:val="25"/>
        </w:rPr>
        <w:t>أظهر الإنجيل الحياة وعدم الموت</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«وإنما أُظهرت الآن بظهور مخلصنا يسوع المسيح الذي أبطل الموت وأنار الحياة والخلود بواسطة الإنجيل.»</w:t>
            </w:r>
          </w:p>
          <w:p>
            <w:pPr>
              <w:spacing w:after="0"/>
              <w:jc w:val="right"/>
              <w:bidi w:val="1"/>
            </w:pPr>
            <w:r>
              <w:rPr>
                <w:rFonts w:ascii="Arial" w:hAnsi="Arial" w:cs="Arial"/>
                <w:b/>
                <w:i w:val="0"/>
                <w:color w:val="333333"/>
                <w:sz w:val="17"/>
              </w:rPr>
              <w:t>تيموثاوس الثانية 1:10  •  King James Version</w:t>
            </w:r>
          </w:p>
        </w:tc>
      </w:tr>
    </w:tbl>
    <w:p>
      <w:pPr>
        <w:spacing w:after="44" w:line="240" w:lineRule="auto"/>
        <w:jc w:val="right"/>
        <w:bidi w:val="1"/>
      </w:pPr>
      <w:r>
        <w:rPr>
          <w:rFonts w:ascii="Arial" w:hAnsi="Arial" w:cs="Arial"/>
          <w:b w:val="0"/>
          <w:i w:val="0"/>
          <w:sz w:val="20"/>
        </w:rPr>
        <w:t>ما زال الموت موجوداً في العالم، لذلك لا تعني عبارة «أبطل الموت» أن أحداً لا يموت الآن. لكن بقيامة المسيح هُزم الموت من حيث المبدأ، وأعلن الله الطريق الذي يحرر به الأمناء منه في النهاية.</w:t>
      </w:r>
    </w:p>
    <w:p>
      <w:pPr>
        <w:spacing w:before="80" w:after="30"/>
        <w:jc w:val="right"/>
        <w:keepNext/>
        <w:bidi w:val="1"/>
      </w:pPr>
      <w:r>
        <w:rPr>
          <w:rFonts w:ascii="Arial" w:hAnsi="Arial" w:cs="Arial"/>
          <w:b/>
          <w:i w:val="0"/>
          <w:color w:val="1F4E79"/>
          <w:sz w:val="25"/>
        </w:rPr>
        <w:t>الحياة الأبدية لا تُكتسب</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«لأن أجرة الخطية هي موت، وأما هبة الله فهي حياة أبدية بالمسيح يسوع ربنا.»</w:t>
            </w:r>
          </w:p>
          <w:p>
            <w:pPr>
              <w:spacing w:after="0"/>
              <w:jc w:val="right"/>
              <w:bidi w:val="1"/>
            </w:pPr>
            <w:r>
              <w:rPr>
                <w:rFonts w:ascii="Arial" w:hAnsi="Arial" w:cs="Arial"/>
                <w:b/>
                <w:i w:val="0"/>
                <w:color w:val="333333"/>
                <w:sz w:val="17"/>
              </w:rPr>
              <w:t>رومية 6:23  •  King James Version</w:t>
            </w:r>
          </w:p>
        </w:tc>
      </w:tr>
    </w:tbl>
    <w:p>
      <w:pPr>
        <w:spacing w:after="44" w:line="240" w:lineRule="auto"/>
        <w:jc w:val="right"/>
        <w:bidi w:val="1"/>
      </w:pPr>
      <w:r>
        <w:rPr>
          <w:rFonts w:ascii="Arial" w:hAnsi="Arial" w:cs="Arial"/>
          <w:b w:val="0"/>
          <w:i w:val="0"/>
          <w:sz w:val="20"/>
        </w:rPr>
        <w:t>الأجرة شيء يُكسب، والهبة شيء يُستقبل. الحياة الأبدية عطية الله خلال المسيح. لا تستطيع أعمالنا الصالحة أن تجعل الله مديناً لنا أو تجعلنا نستحق عدم الموت.</w:t>
      </w:r>
    </w:p>
    <w:p>
      <w:pPr>
        <w:spacing w:after="44" w:line="240" w:lineRule="auto"/>
        <w:jc w:val="right"/>
        <w:bidi w:val="1"/>
      </w:pPr>
      <w:r>
        <w:rPr>
          <w:rFonts w:ascii="Arial" w:hAnsi="Arial" w:cs="Arial"/>
          <w:b w:val="0"/>
          <w:i w:val="0"/>
          <w:sz w:val="20"/>
        </w:rPr>
        <w:t>لكن استقبال الهبة لا يعني أن استجابتنا بلا أهمية. يدعونا الله أن نؤمن به ونتوب ونعتمد ونتبع ابنه. الطاعة لا تشتري الخلاص؛ إنها استجابة الإيمان لنعمة الله.</w:t>
      </w:r>
    </w:p>
    <w:p>
      <w:pPr>
        <w:spacing w:before="80" w:after="30"/>
        <w:jc w:val="right"/>
        <w:keepNext/>
        <w:bidi w:val="1"/>
      </w:pPr>
      <w:r>
        <w:rPr>
          <w:rFonts w:ascii="Arial" w:hAnsi="Arial" w:cs="Arial"/>
          <w:b/>
          <w:i w:val="0"/>
          <w:color w:val="1F4E79"/>
          <w:sz w:val="25"/>
        </w:rPr>
        <w:t>السعي إلى الحياة التي يقدمها الله</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«الذي سيجازي كل واحد حسب أعماله: أما الذين بصبر في العمل الصالح يطلبون المجد والكرامة والبقاء فبالحياة الأبدية.»</w:t>
            </w:r>
          </w:p>
          <w:p>
            <w:pPr>
              <w:spacing w:after="0"/>
              <w:jc w:val="right"/>
              <w:bidi w:val="1"/>
            </w:pPr>
            <w:r>
              <w:rPr>
                <w:rFonts w:ascii="Arial" w:hAnsi="Arial" w:cs="Arial"/>
                <w:b/>
                <w:i w:val="0"/>
                <w:color w:val="333333"/>
                <w:sz w:val="17"/>
              </w:rPr>
              <w:t>رومية 2:6-7  •  King James Version</w:t>
            </w:r>
          </w:p>
        </w:tc>
      </w:tr>
    </w:tbl>
    <w:p>
      <w:pPr>
        <w:spacing w:after="44" w:line="240" w:lineRule="auto"/>
        <w:jc w:val="right"/>
        <w:bidi w:val="1"/>
      </w:pPr>
      <w:r>
        <w:rPr>
          <w:rFonts w:ascii="Arial" w:hAnsi="Arial" w:cs="Arial"/>
          <w:b w:val="0"/>
          <w:i w:val="0"/>
          <w:sz w:val="20"/>
        </w:rPr>
        <w:t>لا يقول بولس إن السلوك الصالح يكسب الحياة الأبدية، بل يصف اتجاه حياة الإيمان: الذين يثقون بالله يطلبون ما وعد به ويثبتون في الطريق الذي أمر به.</w:t>
      </w:r>
    </w:p>
    <w:p>
      <w:pPr>
        <w:spacing w:before="80" w:after="30"/>
        <w:jc w:val="right"/>
        <w:keepNext/>
        <w:bidi w:val="1"/>
      </w:pPr>
      <w:r>
        <w:rPr>
          <w:rFonts w:ascii="Arial" w:hAnsi="Arial" w:cs="Arial"/>
          <w:b/>
          <w:i w:val="0"/>
          <w:color w:val="1F4E79"/>
          <w:sz w:val="25"/>
        </w:rPr>
        <w:t>«أبدية» و«دائمة»</w:t>
      </w:r>
    </w:p>
    <w:p>
      <w:pPr>
        <w:spacing w:after="44" w:line="240" w:lineRule="auto"/>
        <w:jc w:val="right"/>
        <w:bidi w:val="1"/>
      </w:pPr>
      <w:r>
        <w:rPr>
          <w:rFonts w:ascii="Arial" w:hAnsi="Arial" w:cs="Arial"/>
          <w:b w:val="0"/>
          <w:i w:val="0"/>
          <w:sz w:val="20"/>
        </w:rPr>
        <w:t>حاول الدرس القديم أن يميز بشدة بين عبارتي «الحياة الأبدية» و«الحياة الدائمة». وهذا التمييز غير لازم. في نسخة الملك جيمس تُستخدم العبارتان للحياة المستمرة التي يعطيها الله خلال المسيح. والمقارنة المهمة هي بين حياتنا المائتة الآن والحياة التي لا تنتهي.</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20"/>
              <w:jc w:val="right"/>
              <w:bidi w:val="1"/>
            </w:pPr>
            <w:r>
              <w:rPr>
                <w:rFonts w:ascii="Arial" w:hAnsi="Arial" w:cs="Arial"/>
                <w:b/>
                <w:i w:val="0"/>
                <w:color w:val="1F4E79"/>
                <w:sz w:val="20"/>
              </w:rPr>
              <w:t>تعريف بسيط</w:t>
            </w:r>
          </w:p>
          <w:p>
            <w:pPr>
              <w:spacing w:after="0"/>
              <w:jc w:val="right"/>
              <w:bidi w:val="1"/>
            </w:pPr>
            <w:r>
              <w:rPr>
                <w:rFonts w:ascii="Arial" w:hAnsi="Arial" w:cs="Arial"/>
                <w:b w:val="0"/>
                <w:i w:val="0"/>
                <w:sz w:val="19"/>
              </w:rPr>
              <w:t>الحياة الأبدية هي حياة فوق سلطان الموت: حياة من الله، تُعاش في البر والانسجام معه، ولا تنهيها المائتية.</w:t>
            </w:r>
          </w:p>
        </w:tc>
      </w:tr>
    </w:tbl>
    <w:p>
      <w:pPr>
        <w:spacing w:before="80" w:after="30"/>
        <w:jc w:val="right"/>
        <w:keepNext/>
        <w:bidi w:val="1"/>
      </w:pPr>
      <w:r>
        <w:rPr>
          <w:rFonts w:ascii="Arial" w:hAnsi="Arial" w:cs="Arial"/>
          <w:b/>
          <w:i w:val="0"/>
          <w:color w:val="1F4E79"/>
          <w:sz w:val="25"/>
        </w:rPr>
        <w:t>متى تُعطى الحياة الأبدية؟</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«وكثيرون من الراقدين في تراب الأرض يستيقظون، هؤلاء إلى الحياة الأبدية وهؤلاء إلى العار للازدراء الأبدي.»</w:t>
            </w:r>
          </w:p>
          <w:p>
            <w:pPr>
              <w:spacing w:after="0"/>
              <w:jc w:val="right"/>
              <w:bidi w:val="1"/>
            </w:pPr>
            <w:r>
              <w:rPr>
                <w:rFonts w:ascii="Arial" w:hAnsi="Arial" w:cs="Arial"/>
                <w:b/>
                <w:i w:val="0"/>
                <w:color w:val="333333"/>
                <w:sz w:val="17"/>
              </w:rPr>
              <w:t>دانيال 12:2  •  King James Version</w:t>
            </w:r>
          </w:p>
        </w:tc>
      </w:tr>
    </w:tbl>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«تأتي ساعة فيها يسمع جميع الذين في القبور صوته فيخرجون: الذين فعلوا الصالحات إلى قيامة الحياة، والذين عملوا السيئات إلى قيامة الدينونة.»</w:t>
            </w:r>
          </w:p>
          <w:p>
            <w:pPr>
              <w:spacing w:after="0"/>
              <w:jc w:val="right"/>
              <w:bidi w:val="1"/>
            </w:pPr>
            <w:r>
              <w:rPr>
                <w:rFonts w:ascii="Arial" w:hAnsi="Arial" w:cs="Arial"/>
                <w:b/>
                <w:i w:val="0"/>
                <w:color w:val="333333"/>
                <w:sz w:val="17"/>
              </w:rPr>
              <w:t>يوحنا 5:28-29  •  King James Version</w:t>
            </w:r>
          </w:p>
        </w:tc>
      </w:tr>
    </w:tbl>
    <w:p>
      <w:pPr>
        <w:spacing w:after="44" w:line="240" w:lineRule="auto"/>
        <w:jc w:val="right"/>
        <w:bidi w:val="1"/>
      </w:pPr>
      <w:r>
        <w:rPr>
          <w:rFonts w:ascii="Arial" w:hAnsi="Arial" w:cs="Arial"/>
          <w:b w:val="0"/>
          <w:i w:val="0"/>
          <w:sz w:val="20"/>
        </w:rPr>
        <w:t>كما شرحت الدروس 25 و26، القيامة يتبعها الحكم. وبعد ذلك يتغير الأمناء ويُعطون عدم الموت.</w:t>
      </w:r>
    </w:p>
    <w:p>
      <w:pPr>
        <w:spacing w:before="80" w:after="30"/>
        <w:jc w:val="right"/>
        <w:keepNext/>
        <w:bidi w:val="1"/>
      </w:pPr>
      <w:r>
        <w:rPr>
          <w:rFonts w:ascii="Arial" w:hAnsi="Arial" w:cs="Arial"/>
          <w:b/>
          <w:i w:val="0"/>
          <w:color w:val="1F4E79"/>
          <w:sz w:val="25"/>
        </w:rPr>
        <w:t>أمناء العصور السابقة اشتركوا في هذا الرجاء</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«في الإيمان مات هؤلاء أجمعون وهم لم ينالوا المواعيد، بل من بعيد نظروها وصدقوها ...»</w:t>
            </w:r>
          </w:p>
          <w:p>
            <w:pPr>
              <w:spacing w:after="0"/>
              <w:jc w:val="right"/>
              <w:bidi w:val="1"/>
            </w:pPr>
            <w:r>
              <w:rPr>
                <w:rFonts w:ascii="Arial" w:hAnsi="Arial" w:cs="Arial"/>
                <w:b/>
                <w:i w:val="0"/>
                <w:color w:val="333333"/>
                <w:sz w:val="17"/>
              </w:rPr>
              <w:t>العبرانيين 11:13  •  King James Version</w:t>
            </w:r>
          </w:p>
        </w:tc>
      </w:tr>
    </w:tbl>
    <w:p>
      <w:pPr>
        <w:spacing w:after="44" w:line="240" w:lineRule="auto"/>
        <w:jc w:val="right"/>
        <w:bidi w:val="1"/>
      </w:pPr>
      <w:r>
        <w:rPr>
          <w:rFonts w:ascii="Arial" w:hAnsi="Arial" w:cs="Arial"/>
          <w:b w:val="0"/>
          <w:i w:val="0"/>
          <w:sz w:val="20"/>
        </w:rPr>
        <w:t>تطلع الرسل إلى العطية نفسها. كتب بولس عن «رجاء الحياة الأبدية» (تيطس 1:2)، وكتب يوحنا: «وهذا هو الوعد الذي وعدنا هو به: الحياة الأبدية» (يوحنا الأولى 2:25). الرجاء واحد ومتمركز في قصد الله خلال المسيح.</w:t>
      </w:r>
    </w:p>
    <w:p>
      <w:pPr>
        <w:spacing w:before="80" w:after="30"/>
        <w:jc w:val="right"/>
        <w:keepNext/>
        <w:bidi w:val="1"/>
      </w:pPr>
      <w:r>
        <w:rPr>
          <w:rFonts w:ascii="Arial" w:hAnsi="Arial" w:cs="Arial"/>
          <w:b/>
          <w:i w:val="0"/>
          <w:color w:val="1F4E79"/>
          <w:sz w:val="25"/>
        </w:rPr>
        <w:t>ماذا يعني جسد غير مائت؟</w:t>
      </w:r>
    </w:p>
    <w:p>
      <w:pPr>
        <w:spacing w:after="44" w:line="240" w:lineRule="auto"/>
        <w:jc w:val="right"/>
        <w:bidi w:val="1"/>
      </w:pPr>
      <w:r>
        <w:rPr>
          <w:rFonts w:ascii="Arial" w:hAnsi="Arial" w:cs="Arial"/>
          <w:b w:val="0"/>
          <w:i w:val="0"/>
          <w:sz w:val="20"/>
        </w:rPr>
        <w:t>لا يجيب الكتاب عن كل سؤال حول الحياة غير المائتة، لكنه يقول ما يكفي ليبين أن رجاء القيامة حقيقي وجسدي. بعد قيامته كان يسوع معروفاً ويمكن لمسه وأكل مع تلاميذه.</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«انظروا يدي ورجلي إني أنا هو. جسوني وانظروا، فإن الروح ليس له لحم وعظام كما ترون لي.»</w:t>
            </w:r>
          </w:p>
          <w:p>
            <w:pPr>
              <w:spacing w:after="0"/>
              <w:jc w:val="right"/>
              <w:bidi w:val="1"/>
            </w:pPr>
            <w:r>
              <w:rPr>
                <w:rFonts w:ascii="Arial" w:hAnsi="Arial" w:cs="Arial"/>
                <w:b/>
                <w:i w:val="0"/>
                <w:color w:val="333333"/>
                <w:sz w:val="17"/>
              </w:rPr>
              <w:t>لوقا 24:39  •  King James Version</w:t>
            </w:r>
          </w:p>
        </w:tc>
      </w:tr>
    </w:tbl>
    <w:p>
      <w:pPr>
        <w:spacing w:after="44" w:line="240" w:lineRule="auto"/>
        <w:jc w:val="right"/>
        <w:bidi w:val="1"/>
      </w:pPr>
      <w:r>
        <w:rPr>
          <w:rFonts w:ascii="Arial" w:hAnsi="Arial" w:cs="Arial"/>
          <w:b w:val="0"/>
          <w:i w:val="0"/>
          <w:sz w:val="20"/>
        </w:rPr>
        <w:t>لا ينبغي أن نبني على عبارة «لحم وعظام» أكثر مما يعطي الكتاب. العدد يثبت أن يسوع المقام لم يكن شبحاً غير مادي، لكنه لا يشرح وحده كل تفاصيل تركيب الجسد غير المائت.</w:t>
      </w:r>
    </w:p>
    <w:p>
      <w:pPr>
        <w:spacing w:before="80" w:after="30"/>
        <w:jc w:val="right"/>
        <w:keepNext/>
        <w:bidi w:val="1"/>
      </w:pPr>
      <w:r>
        <w:rPr>
          <w:rFonts w:ascii="Arial" w:hAnsi="Arial" w:cs="Arial"/>
          <w:b/>
          <w:i w:val="0"/>
          <w:color w:val="1F4E79"/>
          <w:sz w:val="25"/>
        </w:rPr>
        <w:t>من المائت إلى عدم الموت</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«يُزرع جسماً حيوانياً ويقام جسماً روحانياً. يوجد جسم حيواني ويوجد جسم روحاني.»</w:t>
            </w:r>
          </w:p>
          <w:p>
            <w:pPr>
              <w:spacing w:after="0"/>
              <w:jc w:val="right"/>
              <w:bidi w:val="1"/>
            </w:pPr>
            <w:r>
              <w:rPr>
                <w:rFonts w:ascii="Arial" w:hAnsi="Arial" w:cs="Arial"/>
                <w:b/>
                <w:i w:val="0"/>
                <w:color w:val="333333"/>
                <w:sz w:val="17"/>
              </w:rPr>
              <w:t>كورنثوس الأولى 15:44  •  King James Version</w:t>
            </w:r>
          </w:p>
        </w:tc>
      </w:tr>
    </w:tbl>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«هذا الفاسد لا بد أن يلبس عدم فساد، وهذا المائت يلبس عدم موت.»</w:t>
            </w:r>
          </w:p>
          <w:p>
            <w:pPr>
              <w:spacing w:after="0"/>
              <w:jc w:val="right"/>
              <w:bidi w:val="1"/>
            </w:pPr>
            <w:r>
              <w:rPr>
                <w:rFonts w:ascii="Arial" w:hAnsi="Arial" w:cs="Arial"/>
                <w:b/>
                <w:i w:val="0"/>
                <w:color w:val="333333"/>
                <w:sz w:val="17"/>
              </w:rPr>
              <w:t>كورنثوس الأولى 15:53  •  King James Version</w:t>
            </w:r>
          </w:p>
        </w:tc>
      </w:tr>
    </w:tbl>
    <w:tbl>
      <w:tblPr>
        <w:tblStyle w:val="TableGrid"/>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keepNext/>
              <w:bidi w:val="1"/>
            </w:pPr>
            <w:r>
              <w:rPr>
                <w:rFonts w:ascii="Arial" w:hAnsi="Arial" w:cs="Arial"/>
                <w:b/>
                <w:i w:val="0"/>
                <w:color w:val="1F4E79"/>
                <w:sz w:val="16"/>
              </w:rPr>
              <w:t>حياتنا المائتة الآن</w:t>
            </w:r>
          </w:p>
        </w:tc>
        <w:tc>
          <w:tcPr>
            <w:tcW w:type="dxa" w:w="4975"/>
            <w:shd w:fill="D9EAF7"/>
          </w:tcPr>
          <w:p>
            <w:pPr>
              <w:jc w:val="center"/>
              <w:keepNext/>
              <w:bidi w:val="1"/>
            </w:pPr>
            <w:r>
              <w:rPr>
                <w:rFonts w:ascii="Arial" w:hAnsi="Arial" w:cs="Arial"/>
                <w:b/>
                <w:i w:val="0"/>
                <w:color w:val="1F4E79"/>
                <w:sz w:val="16"/>
              </w:rPr>
              <w:t>الحياة غير المائتة الموعودة</w:t>
            </w:r>
          </w:p>
        </w:tc>
      </w:tr>
      <w:tr>
        <w:trPr>
          <w:cantSplit/>
        </w:trPr>
        <w:tc>
          <w:tcPr>
            <w:tcW w:type="dxa" w:w="4975"/>
          </w:tcPr>
          <w:p>
            <w:pPr>
              <w:spacing w:after="0"/>
              <w:jc w:val="right"/>
              <w:bidi w:val="1"/>
            </w:pPr>
            <w:r>
              <w:rPr>
                <w:rFonts w:ascii="Arial" w:hAnsi="Arial" w:cs="Arial"/>
                <w:b w:val="0"/>
                <w:i w:val="0"/>
                <w:sz w:val="16"/>
              </w:rPr>
              <w:t>خاضعة للموت</w:t>
            </w:r>
          </w:p>
        </w:tc>
        <w:tc>
          <w:tcPr>
            <w:tcW w:type="dxa" w:w="4975"/>
          </w:tcPr>
          <w:p>
            <w:pPr>
              <w:spacing w:after="0"/>
              <w:jc w:val="right"/>
              <w:bidi w:val="1"/>
            </w:pPr>
            <w:r>
              <w:rPr>
                <w:rFonts w:ascii="Arial" w:hAnsi="Arial" w:cs="Arial"/>
                <w:b w:val="0"/>
                <w:i w:val="0"/>
                <w:sz w:val="16"/>
              </w:rPr>
              <w:t>لا تموت بعد</w:t>
            </w:r>
          </w:p>
        </w:tc>
      </w:tr>
      <w:tr>
        <w:trPr>
          <w:cantSplit/>
        </w:trPr>
        <w:tc>
          <w:tcPr>
            <w:tcW w:type="dxa" w:w="4975"/>
          </w:tcPr>
          <w:p>
            <w:pPr>
              <w:spacing w:after="0"/>
              <w:jc w:val="right"/>
              <w:bidi w:val="1"/>
            </w:pPr>
            <w:r>
              <w:rPr>
                <w:rFonts w:ascii="Arial" w:hAnsi="Arial" w:cs="Arial"/>
                <w:b w:val="0"/>
                <w:i w:val="0"/>
                <w:sz w:val="16"/>
              </w:rPr>
              <w:t>ضعف وفساد</w:t>
            </w:r>
          </w:p>
        </w:tc>
        <w:tc>
          <w:tcPr>
            <w:tcW w:type="dxa" w:w="4975"/>
          </w:tcPr>
          <w:p>
            <w:pPr>
              <w:spacing w:after="0"/>
              <w:jc w:val="right"/>
              <w:bidi w:val="1"/>
            </w:pPr>
            <w:r>
              <w:rPr>
                <w:rFonts w:ascii="Arial" w:hAnsi="Arial" w:cs="Arial"/>
                <w:b w:val="0"/>
                <w:i w:val="0"/>
                <w:sz w:val="16"/>
              </w:rPr>
              <w:t>تُقام في قوة وعدم فساد</w:t>
            </w:r>
          </w:p>
        </w:tc>
      </w:tr>
      <w:tr>
        <w:trPr>
          <w:cantSplit/>
        </w:trPr>
        <w:tc>
          <w:tcPr>
            <w:tcW w:type="dxa" w:w="4975"/>
          </w:tcPr>
          <w:p>
            <w:pPr>
              <w:spacing w:after="0"/>
              <w:jc w:val="right"/>
              <w:bidi w:val="1"/>
            </w:pPr>
            <w:r>
              <w:rPr>
                <w:rFonts w:ascii="Arial" w:hAnsi="Arial" w:cs="Arial"/>
                <w:b w:val="0"/>
                <w:i w:val="0"/>
                <w:sz w:val="16"/>
              </w:rPr>
              <w:t>تجربة وفشل</w:t>
            </w:r>
          </w:p>
        </w:tc>
        <w:tc>
          <w:tcPr>
            <w:tcW w:type="dxa" w:w="4975"/>
          </w:tcPr>
          <w:p>
            <w:pPr>
              <w:spacing w:after="0"/>
              <w:jc w:val="right"/>
              <w:bidi w:val="1"/>
            </w:pPr>
            <w:r>
              <w:rPr>
                <w:rFonts w:ascii="Arial" w:hAnsi="Arial" w:cs="Arial"/>
                <w:b w:val="0"/>
                <w:i w:val="0"/>
                <w:sz w:val="16"/>
              </w:rPr>
              <w:t>تكمل للخدمة لله</w:t>
            </w:r>
          </w:p>
        </w:tc>
      </w:tr>
      <w:tr>
        <w:trPr>
          <w:cantSplit/>
        </w:trPr>
        <w:tc>
          <w:tcPr>
            <w:tcW w:type="dxa" w:w="4975"/>
          </w:tcPr>
          <w:p>
            <w:pPr>
              <w:spacing w:after="0"/>
              <w:jc w:val="right"/>
              <w:bidi w:val="1"/>
            </w:pPr>
            <w:r>
              <w:rPr>
                <w:rFonts w:ascii="Arial" w:hAnsi="Arial" w:cs="Arial"/>
                <w:b w:val="0"/>
                <w:i w:val="0"/>
                <w:sz w:val="16"/>
              </w:rPr>
              <w:t>الحياة مؤقتة</w:t>
            </w:r>
          </w:p>
        </w:tc>
        <w:tc>
          <w:tcPr>
            <w:tcW w:type="dxa" w:w="4975"/>
          </w:tcPr>
          <w:p>
            <w:pPr>
              <w:spacing w:after="0"/>
              <w:jc w:val="right"/>
              <w:bidi w:val="1"/>
            </w:pPr>
            <w:r>
              <w:rPr>
                <w:rFonts w:ascii="Arial" w:hAnsi="Arial" w:cs="Arial"/>
                <w:b w:val="0"/>
                <w:i w:val="0"/>
                <w:sz w:val="16"/>
              </w:rPr>
              <w:t>الحياة لا تنتهي</w:t>
            </w:r>
          </w:p>
        </w:tc>
      </w:tr>
    </w:tbl>
    <w:p>
      <w:pPr>
        <w:spacing w:after="44" w:line="240" w:lineRule="auto"/>
        <w:jc w:val="right"/>
        <w:bidi w:val="1"/>
      </w:pPr>
      <w:r>
        <w:rPr>
          <w:rFonts w:ascii="Arial" w:hAnsi="Arial" w:cs="Arial"/>
          <w:b w:val="0"/>
          <w:i w:val="0"/>
          <w:sz w:val="20"/>
        </w:rPr>
        <w:t>يسمي بولس جسد القيامة «جسداً روحانياً». ولا يعني ذلك وجوداً غير حقيقي أو بلا جسد، بل جسداً محولاً تسنده قوة الله المحيية.</w:t>
      </w:r>
    </w:p>
    <w:p>
      <w:pPr>
        <w:spacing w:before="80" w:after="30"/>
        <w:jc w:val="right"/>
        <w:keepNext/>
        <w:bidi w:val="1"/>
      </w:pPr>
      <w:r>
        <w:rPr>
          <w:rFonts w:ascii="Arial" w:hAnsi="Arial" w:cs="Arial"/>
          <w:b/>
          <w:i w:val="0"/>
          <w:color w:val="1F4E79"/>
          <w:sz w:val="25"/>
        </w:rPr>
        <w:t>الحياة مع المسيح في الملكوت</w:t>
      </w:r>
    </w:p>
    <w:p>
      <w:pPr>
        <w:spacing w:after="44" w:line="240" w:lineRule="auto"/>
        <w:jc w:val="right"/>
        <w:bidi w:val="1"/>
      </w:pPr>
      <w:r>
        <w:rPr>
          <w:rFonts w:ascii="Arial" w:hAnsi="Arial" w:cs="Arial"/>
          <w:b w:val="0"/>
          <w:i w:val="0"/>
          <w:sz w:val="20"/>
        </w:rPr>
        <w:t>يشترك المقبولون من المسيح في عمل مملكته. لا يعودون محدودين بالموت أو المرض أو الشيخوخة، بل يُهيأون لخدمة أمينة تحت حكم الرب يسوع البار.</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20"/>
              <w:jc w:val="right"/>
              <w:bidi w:val="1"/>
            </w:pPr>
            <w:r>
              <w:rPr>
                <w:rFonts w:ascii="Arial" w:hAnsi="Arial" w:cs="Arial"/>
                <w:b/>
                <w:i w:val="0"/>
                <w:color w:val="1F4E79"/>
                <w:sz w:val="20"/>
              </w:rPr>
              <w:t>قديس</w:t>
            </w:r>
          </w:p>
          <w:p>
            <w:pPr>
              <w:spacing w:after="0"/>
              <w:jc w:val="right"/>
              <w:bidi w:val="1"/>
            </w:pPr>
            <w:r>
              <w:rPr>
                <w:rFonts w:ascii="Arial" w:hAnsi="Arial" w:cs="Arial"/>
                <w:b w:val="0"/>
                <w:i w:val="0"/>
                <w:sz w:val="19"/>
              </w:rPr>
              <w:t>في العهد الجديد «القديس» هو إنسان مقدس أو مكرس لله. ولا يعني طبقة خاصة من المسيحيين تُنشأ بعد الموت بزمن طويل. المؤمنون مدعوون للقداسة الآن، والأمناء يُكمّلون عندما يعطيهم المسيح عدم الموت.</w:t>
            </w:r>
          </w:p>
        </w:tc>
      </w:tr>
    </w:tbl>
    <w:p>
      <w:pPr>
        <w:spacing w:before="80" w:after="30"/>
        <w:jc w:val="right"/>
        <w:keepNext/>
        <w:bidi w:val="1"/>
      </w:pPr>
      <w:r>
        <w:rPr>
          <w:rFonts w:ascii="Arial" w:hAnsi="Arial" w:cs="Arial"/>
          <w:b/>
          <w:i w:val="0"/>
          <w:color w:val="1F4E79"/>
          <w:sz w:val="25"/>
        </w:rPr>
        <w:t>معروفون لكن متغيرون</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«إذ لا يستطيعون أن يموتوا أيضاً لأنهم مثل الملائكة وهم أبناء الله إذ هم أبناء القيامة.»</w:t>
            </w:r>
          </w:p>
          <w:p>
            <w:pPr>
              <w:spacing w:after="0"/>
              <w:jc w:val="right"/>
              <w:bidi w:val="1"/>
            </w:pPr>
            <w:r>
              <w:rPr>
                <w:rFonts w:ascii="Arial" w:hAnsi="Arial" w:cs="Arial"/>
                <w:b/>
                <w:i w:val="0"/>
                <w:color w:val="333333"/>
                <w:sz w:val="17"/>
              </w:rPr>
              <w:t>لوقا 20:36  •  King James Version</w:t>
            </w:r>
          </w:p>
        </w:tc>
      </w:tr>
    </w:tbl>
    <w:p>
      <w:pPr>
        <w:spacing w:before="80" w:after="30"/>
        <w:jc w:val="right"/>
        <w:keepNext/>
        <w:bidi w:val="1"/>
      </w:pPr>
      <w:r>
        <w:rPr>
          <w:rFonts w:ascii="Arial" w:hAnsi="Arial" w:cs="Arial"/>
          <w:b/>
          <w:i w:val="0"/>
          <w:color w:val="1F4E79"/>
          <w:sz w:val="25"/>
        </w:rPr>
        <w:t>النصر النهائي على الموت</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«ومتى أُخضع له الكل فحينئذ الابن نفسه أيضاً سيخضع للذي أخضع له الكل، كي يكون الله الكل في الكل.»</w:t>
            </w:r>
          </w:p>
          <w:p>
            <w:pPr>
              <w:spacing w:after="0"/>
              <w:jc w:val="right"/>
              <w:bidi w:val="1"/>
            </w:pPr>
            <w:r>
              <w:rPr>
                <w:rFonts w:ascii="Arial" w:hAnsi="Arial" w:cs="Arial"/>
                <w:b/>
                <w:i w:val="0"/>
                <w:color w:val="333333"/>
                <w:sz w:val="17"/>
              </w:rPr>
              <w:t>كورنثوس الأولى 15:28  •  King James Version</w:t>
            </w:r>
          </w:p>
        </w:tc>
      </w:tr>
    </w:tbl>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«ويمسح الله كل دمعة من عيونهم، والموت لا يكون في ما بعد، ولا يكون حزن ولا صراخ ولا وجع في ما بعد.»</w:t>
            </w:r>
          </w:p>
          <w:p>
            <w:pPr>
              <w:spacing w:after="0"/>
              <w:jc w:val="right"/>
              <w:bidi w:val="1"/>
            </w:pPr>
            <w:r>
              <w:rPr>
                <w:rFonts w:ascii="Arial" w:hAnsi="Arial" w:cs="Arial"/>
                <w:b/>
                <w:i w:val="0"/>
                <w:color w:val="333333"/>
                <w:sz w:val="17"/>
              </w:rPr>
              <w:t>رؤيا 21:4  •  King James Version</w:t>
            </w:r>
          </w:p>
        </w:tc>
      </w:tr>
    </w:tbl>
    <w:p>
      <w:pPr>
        <w:spacing w:after="44" w:line="240" w:lineRule="auto"/>
        <w:jc w:val="right"/>
        <w:bidi w:val="1"/>
      </w:pPr>
      <w:r>
        <w:rPr>
          <w:rFonts w:ascii="Arial" w:hAnsi="Arial" w:cs="Arial"/>
          <w:b w:val="0"/>
          <w:i w:val="0"/>
          <w:sz w:val="20"/>
        </w:rPr>
        <w:t>هذه هي غاية قصد الله: ليس أرواحاً خالدة تترك الأرض إلى السماء، بل إزالة الموت نفسه وإحضار الخليقة إلى انسجام دائم مع الله.</w:t>
      </w:r>
    </w:p>
    <w:p>
      <w:pPr>
        <w:spacing w:before="80" w:after="30"/>
        <w:jc w:val="right"/>
        <w:keepNext/>
        <w:bidi w:val="1"/>
      </w:pPr>
      <w:r>
        <w:rPr>
          <w:rFonts w:ascii="Arial" w:hAnsi="Arial" w:cs="Arial"/>
          <w:b/>
          <w:i w:val="0"/>
          <w:color w:val="1F4E79"/>
          <w:sz w:val="25"/>
        </w:rPr>
        <w:t>«قوات الدهر الآتي»</w:t>
      </w:r>
    </w:p>
    <w:p>
      <w:pPr>
        <w:spacing w:after="44" w:line="240" w:lineRule="auto"/>
        <w:jc w:val="right"/>
        <w:bidi w:val="1"/>
      </w:pPr>
      <w:r>
        <w:rPr>
          <w:rFonts w:ascii="Arial" w:hAnsi="Arial" w:cs="Arial"/>
          <w:b w:val="0"/>
          <w:i w:val="0"/>
          <w:sz w:val="20"/>
        </w:rPr>
        <w:t>يدعو العبرانيين 6:5 المواهب العجيبة في القرن الأول «قوات الدهر الآتي». لذلك يراها الكريستادلفيان عربوناً للعصر الآتي. ومع ذلك لا يعطي الكتاب قائمة تفصيلية بكل ما سيفعله القديسون غير المائتين، فلا ينبغي أن نتجاوز المكتوب.</w:t>
      </w:r>
    </w:p>
    <w:p>
      <w:pPr>
        <w:spacing w:before="80" w:after="30"/>
        <w:jc w:val="right"/>
        <w:keepNext/>
        <w:bidi w:val="1"/>
      </w:pPr>
      <w:r>
        <w:rPr>
          <w:rFonts w:ascii="Arial" w:hAnsi="Arial" w:cs="Arial"/>
          <w:b/>
          <w:i w:val="0"/>
          <w:color w:val="1F4E79"/>
          <w:sz w:val="25"/>
        </w:rPr>
        <w:t>رجاء يستحق أن نطلبه</w:t>
      </w:r>
    </w:p>
    <w:p>
      <w:pPr>
        <w:spacing w:after="44" w:line="240" w:lineRule="auto"/>
        <w:jc w:val="right"/>
        <w:bidi w:val="1"/>
      </w:pPr>
      <w:r>
        <w:rPr>
          <w:rFonts w:ascii="Arial" w:hAnsi="Arial" w:cs="Arial"/>
          <w:b w:val="0"/>
          <w:i w:val="0"/>
          <w:sz w:val="20"/>
        </w:rPr>
        <w:t>الحياة الأبدية أكثر كثيراً من مجرد إطالة وجودنا الحاضر. يعد الله بالتحرر من الفساد والموت، وبشركة كاملة معه، وبخدمة ذات معنى في مملكة ابنه. إنه مستقبل يستحق أن نستعد له الآن.</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«لكن اطلبوا أولاً ملكوت الله وبره وهذه كلها تزاد لكم.»</w:t>
            </w:r>
          </w:p>
          <w:p>
            <w:pPr>
              <w:spacing w:after="0"/>
              <w:jc w:val="right"/>
              <w:bidi w:val="1"/>
            </w:pPr>
            <w:r>
              <w:rPr>
                <w:rFonts w:ascii="Arial" w:hAnsi="Arial" w:cs="Arial"/>
                <w:b/>
                <w:i w:val="0"/>
                <w:color w:val="333333"/>
                <w:sz w:val="17"/>
              </w:rPr>
              <w:t>متى 6:33  •  King James Version</w:t>
            </w:r>
          </w:p>
        </w:tc>
      </w:tr>
    </w:tbl>
    <w:p>
      <w:pPr>
        <w:spacing w:before="80" w:after="30"/>
        <w:jc w:val="right"/>
        <w:keepNext/>
        <w:bidi w:val="1"/>
      </w:pPr>
      <w:r>
        <w:rPr>
          <w:rFonts w:ascii="Arial" w:hAnsi="Arial" w:cs="Arial"/>
          <w:b/>
          <w:i w:val="0"/>
          <w:color w:val="1F4E79"/>
          <w:sz w:val="25"/>
        </w:rPr>
        <w:t>من الحياة المائتة إلى اكتمال قصد الله</w:t>
      </w:r>
    </w:p>
    <w:tbl>
      <w:tblPr>
        <w:tblStyle w:val="TableGrid"/>
        <w:tblW w:type="auto" w:w="0"/>
        <w:jc w:val="center"/>
        <w:tblLook w:firstColumn="1" w:firstRow="1" w:lastColumn="0" w:lastRow="0" w:noHBand="0" w:noVBand="1" w:val="04A0"/>
      </w:tblPr>
      <w:tblGrid>
        <w:gridCol w:w="3317"/>
        <w:gridCol w:w="3317"/>
        <w:gridCol w:w="3317"/>
      </w:tblGrid>
      <w:tr>
        <w:trPr>
          <w:cantSplit/>
        </w:trPr>
        <w:tc>
          <w:tcPr>
            <w:tcW w:type="dxa" w:w="3317"/>
            <w:shd w:fill="D9EAF7"/>
          </w:tcPr>
          <w:p>
            <w:pPr>
              <w:jc w:val="center"/>
              <w:keepNext/>
              <w:bidi w:val="1"/>
            </w:pPr>
            <w:r>
              <w:rPr>
                <w:rFonts w:ascii="Arial" w:hAnsi="Arial" w:cs="Arial"/>
                <w:b/>
                <w:i w:val="0"/>
                <w:color w:val="1F4E79"/>
                <w:sz w:val="16"/>
              </w:rPr>
              <w:t>الآن</w:t>
            </w:r>
          </w:p>
        </w:tc>
        <w:tc>
          <w:tcPr>
            <w:tcW w:type="dxa" w:w="3317"/>
            <w:shd w:fill="D9EAF7"/>
          </w:tcPr>
          <w:p>
            <w:pPr>
              <w:jc w:val="center"/>
              <w:keepNext/>
              <w:bidi w:val="1"/>
            </w:pPr>
            <w:r>
              <w:rPr>
                <w:rFonts w:ascii="Arial" w:hAnsi="Arial" w:cs="Arial"/>
                <w:b/>
                <w:i w:val="0"/>
                <w:color w:val="1F4E79"/>
                <w:sz w:val="16"/>
              </w:rPr>
              <w:t>عند عودة المسيح</w:t>
            </w:r>
          </w:p>
        </w:tc>
        <w:tc>
          <w:tcPr>
            <w:tcW w:type="dxa" w:w="3317"/>
            <w:shd w:fill="D9EAF7"/>
          </w:tcPr>
          <w:p>
            <w:pPr>
              <w:jc w:val="center"/>
              <w:keepNext/>
              <w:bidi w:val="1"/>
            </w:pPr>
            <w:r>
              <w:rPr>
                <w:rFonts w:ascii="Arial" w:hAnsi="Arial" w:cs="Arial"/>
                <w:b/>
                <w:i w:val="0"/>
                <w:color w:val="1F4E79"/>
                <w:sz w:val="16"/>
              </w:rPr>
              <w:t>اكتمال قصد الله</w:t>
            </w:r>
          </w:p>
        </w:tc>
      </w:tr>
      <w:tr>
        <w:trPr>
          <w:cantSplit/>
        </w:trPr>
        <w:tc>
          <w:tcPr>
            <w:tcW w:type="dxa" w:w="3317"/>
          </w:tcPr>
          <w:p>
            <w:pPr>
              <w:spacing w:after="0"/>
              <w:jc w:val="right"/>
              <w:bidi w:val="1"/>
            </w:pPr>
            <w:r>
              <w:rPr>
                <w:rFonts w:ascii="Arial" w:hAnsi="Arial" w:cs="Arial"/>
                <w:b w:val="0"/>
                <w:i w:val="0"/>
                <w:sz w:val="16"/>
              </w:rPr>
              <w:t>نحن مائتون</w:t>
            </w:r>
          </w:p>
        </w:tc>
        <w:tc>
          <w:tcPr>
            <w:tcW w:type="dxa" w:w="3317"/>
          </w:tcPr>
          <w:p>
            <w:pPr>
              <w:spacing w:after="0"/>
              <w:jc w:val="right"/>
              <w:bidi w:val="1"/>
            </w:pPr>
            <w:r>
              <w:rPr>
                <w:rFonts w:ascii="Arial" w:hAnsi="Arial" w:cs="Arial"/>
                <w:b w:val="0"/>
                <w:i w:val="0"/>
                <w:sz w:val="16"/>
              </w:rPr>
              <w:t>يُقام الموتى</w:t>
            </w:r>
          </w:p>
        </w:tc>
        <w:tc>
          <w:tcPr>
            <w:tcW w:type="dxa" w:w="3317"/>
          </w:tcPr>
          <w:p>
            <w:pPr>
              <w:spacing w:after="0"/>
              <w:jc w:val="right"/>
              <w:bidi w:val="1"/>
            </w:pPr>
            <w:r>
              <w:rPr>
                <w:rFonts w:ascii="Arial" w:hAnsi="Arial" w:cs="Arial"/>
                <w:b w:val="0"/>
                <w:i w:val="0"/>
                <w:sz w:val="16"/>
              </w:rPr>
              <w:t>يُبطل الموت أخيراً</w:t>
            </w:r>
          </w:p>
        </w:tc>
      </w:tr>
      <w:tr>
        <w:trPr>
          <w:cantSplit/>
        </w:trPr>
        <w:tc>
          <w:tcPr>
            <w:tcW w:type="dxa" w:w="3317"/>
          </w:tcPr>
          <w:p>
            <w:pPr>
              <w:spacing w:after="0"/>
              <w:jc w:val="right"/>
              <w:bidi w:val="1"/>
            </w:pPr>
            <w:r>
              <w:rPr>
                <w:rFonts w:ascii="Arial" w:hAnsi="Arial" w:cs="Arial"/>
                <w:b w:val="0"/>
                <w:i w:val="0"/>
                <w:sz w:val="16"/>
              </w:rPr>
              <w:t>نعيش بالإيمان</w:t>
            </w:r>
          </w:p>
        </w:tc>
        <w:tc>
          <w:tcPr>
            <w:tcW w:type="dxa" w:w="3317"/>
          </w:tcPr>
          <w:p>
            <w:pPr>
              <w:spacing w:after="0"/>
              <w:jc w:val="right"/>
              <w:bidi w:val="1"/>
            </w:pPr>
            <w:r>
              <w:rPr>
                <w:rFonts w:ascii="Arial" w:hAnsi="Arial" w:cs="Arial"/>
                <w:b w:val="0"/>
                <w:i w:val="0"/>
                <w:sz w:val="16"/>
              </w:rPr>
              <w:t>يدين المسيح بالعدل</w:t>
            </w:r>
          </w:p>
        </w:tc>
        <w:tc>
          <w:tcPr>
            <w:tcW w:type="dxa" w:w="3317"/>
          </w:tcPr>
          <w:p>
            <w:pPr>
              <w:spacing w:after="0"/>
              <w:jc w:val="right"/>
              <w:bidi w:val="1"/>
            </w:pPr>
            <w:r>
              <w:rPr>
                <w:rFonts w:ascii="Arial" w:hAnsi="Arial" w:cs="Arial"/>
                <w:b w:val="0"/>
                <w:i w:val="0"/>
                <w:sz w:val="16"/>
              </w:rPr>
              <w:t>يكون الله «الكل في الكل»</w:t>
            </w:r>
          </w:p>
        </w:tc>
      </w:tr>
      <w:tr>
        <w:trPr>
          <w:cantSplit/>
        </w:trPr>
        <w:tc>
          <w:tcPr>
            <w:tcW w:type="dxa" w:w="3317"/>
          </w:tcPr>
          <w:p>
            <w:pPr>
              <w:spacing w:after="0"/>
              <w:jc w:val="right"/>
              <w:bidi w:val="1"/>
            </w:pPr>
            <w:r>
              <w:rPr>
                <w:rFonts w:ascii="Arial" w:hAnsi="Arial" w:cs="Arial"/>
                <w:b w:val="0"/>
                <w:i w:val="0"/>
                <w:sz w:val="16"/>
              </w:rPr>
              <w:t>نطلب الملكوت</w:t>
            </w:r>
          </w:p>
        </w:tc>
        <w:tc>
          <w:tcPr>
            <w:tcW w:type="dxa" w:w="3317"/>
          </w:tcPr>
          <w:p>
            <w:pPr>
              <w:spacing w:after="0"/>
              <w:jc w:val="right"/>
              <w:bidi w:val="1"/>
            </w:pPr>
            <w:r>
              <w:rPr>
                <w:rFonts w:ascii="Arial" w:hAnsi="Arial" w:cs="Arial"/>
                <w:b w:val="0"/>
                <w:i w:val="0"/>
                <w:sz w:val="16"/>
              </w:rPr>
              <w:t>ينال الأمناء عدم الموت</w:t>
            </w:r>
          </w:p>
        </w:tc>
        <w:tc>
          <w:tcPr>
            <w:tcW w:type="dxa" w:w="3317"/>
          </w:tcPr>
          <w:p>
            <w:pPr>
              <w:spacing w:after="0"/>
              <w:jc w:val="right"/>
              <w:bidi w:val="1"/>
            </w:pPr>
            <w:r>
              <w:rPr>
                <w:rFonts w:ascii="Arial" w:hAnsi="Arial" w:cs="Arial"/>
                <w:b w:val="0"/>
                <w:i w:val="0"/>
                <w:sz w:val="16"/>
              </w:rPr>
              <w:t>ينتهي الحزن والألم</w:t>
            </w:r>
          </w:p>
        </w:tc>
      </w:tr>
      <w:tr>
        <w:trPr>
          <w:cantSplit/>
        </w:trPr>
        <w:tc>
          <w:tcPr>
            <w:tcW w:type="dxa" w:w="3317"/>
          </w:tcPr>
          <w:p>
            <w:pPr>
              <w:spacing w:after="0"/>
              <w:jc w:val="right"/>
              <w:bidi w:val="1"/>
            </w:pPr>
            <w:r>
              <w:rPr>
                <w:rFonts w:ascii="Arial" w:hAnsi="Arial" w:cs="Arial"/>
                <w:b w:val="0"/>
                <w:i w:val="0"/>
                <w:sz w:val="16"/>
              </w:rPr>
              <w:t>نتبع المسيح</w:t>
            </w:r>
          </w:p>
        </w:tc>
        <w:tc>
          <w:tcPr>
            <w:tcW w:type="dxa" w:w="3317"/>
          </w:tcPr>
          <w:p>
            <w:pPr>
              <w:spacing w:after="0"/>
              <w:jc w:val="right"/>
              <w:bidi w:val="1"/>
            </w:pPr>
            <w:r>
              <w:rPr>
                <w:rFonts w:ascii="Arial" w:hAnsi="Arial" w:cs="Arial"/>
                <w:b w:val="0"/>
                <w:i w:val="0"/>
                <w:sz w:val="16"/>
              </w:rPr>
              <w:t>يخدم القديسون معه</w:t>
            </w:r>
          </w:p>
        </w:tc>
        <w:tc>
          <w:tcPr>
            <w:tcW w:type="dxa" w:w="3317"/>
          </w:tcPr>
          <w:p>
            <w:pPr>
              <w:spacing w:after="0"/>
              <w:jc w:val="right"/>
              <w:bidi w:val="1"/>
            </w:pPr>
            <w:r>
              <w:rPr>
                <w:rFonts w:ascii="Arial" w:hAnsi="Arial" w:cs="Arial"/>
                <w:b w:val="0"/>
                <w:i w:val="0"/>
                <w:sz w:val="16"/>
              </w:rPr>
              <w:t>تكون الخليقة في سلام مع الله</w:t>
            </w:r>
          </w:p>
        </w:tc>
      </w:tr>
    </w:tbl>
    <w:p>
      <w:pPr>
        <w:spacing w:before="80" w:after="30"/>
        <w:jc w:val="right"/>
        <w:keepNext/>
        <w:bidi w:val="1"/>
      </w:pPr>
      <w:r>
        <w:rPr>
          <w:rFonts w:ascii="Arial" w:hAnsi="Arial" w:cs="Arial"/>
          <w:b/>
          <w:i w:val="0"/>
          <w:color w:val="1F4E79"/>
          <w:sz w:val="25"/>
        </w:rPr>
        <w:t>الخلاصة</w:t>
      </w:r>
    </w:p>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1</w:t>
            </w:r>
          </w:p>
        </w:tc>
        <w:tc>
          <w:tcPr>
            <w:tcW w:type="dxa" w:w="4975"/>
          </w:tcPr>
          <w:p>
            <w:pPr>
              <w:jc w:val="right"/>
              <w:bidi w:val="1"/>
            </w:pPr>
            <w:r>
              <w:rPr>
                <w:rFonts w:ascii="Arial" w:hAnsi="Arial" w:cs="Arial"/>
                <w:b/>
                <w:i w:val="0"/>
                <w:color w:val="1F4E79"/>
                <w:sz w:val="19"/>
              </w:rPr>
              <w:t>البشر مائتون.</w:t>
            </w:r>
          </w:p>
          <w:p>
            <w:pPr>
              <w:spacing w:after="0"/>
              <w:jc w:val="right"/>
              <w:bidi w:val="1"/>
            </w:pPr>
            <w:r>
              <w:rPr>
                <w:rFonts w:ascii="Arial" w:hAnsi="Arial" w:cs="Arial"/>
                <w:b w:val="0"/>
                <w:i w:val="0"/>
                <w:sz w:val="18"/>
              </w:rPr>
              <w:t>بسبب الخطية والمائتية تنتهي حياتنا الحاضرة بالموت، وليس لنا الخلود بالطبيعة.</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2</w:t>
            </w:r>
          </w:p>
        </w:tc>
        <w:tc>
          <w:tcPr>
            <w:tcW w:type="dxa" w:w="4975"/>
          </w:tcPr>
          <w:p>
            <w:pPr>
              <w:jc w:val="right"/>
              <w:bidi w:val="1"/>
            </w:pPr>
            <w:r>
              <w:rPr>
                <w:rFonts w:ascii="Arial" w:hAnsi="Arial" w:cs="Arial"/>
                <w:b/>
                <w:i w:val="0"/>
                <w:color w:val="1F4E79"/>
                <w:sz w:val="19"/>
              </w:rPr>
              <w:t>الله مصدر الحياة غير المائتة.</w:t>
            </w:r>
          </w:p>
          <w:p>
            <w:pPr>
              <w:spacing w:after="0"/>
              <w:jc w:val="right"/>
              <w:bidi w:val="1"/>
            </w:pPr>
            <w:r>
              <w:rPr>
                <w:rFonts w:ascii="Arial" w:hAnsi="Arial" w:cs="Arial"/>
                <w:b w:val="0"/>
                <w:i w:val="0"/>
                <w:sz w:val="18"/>
              </w:rPr>
              <w:t>الله وحده غير مائت بذاته؛ أُقيم يسوع فلا يموت بعد، والملائكة لا يموتون.</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3</w:t>
            </w:r>
          </w:p>
        </w:tc>
        <w:tc>
          <w:tcPr>
            <w:tcW w:type="dxa" w:w="4975"/>
          </w:tcPr>
          <w:p>
            <w:pPr>
              <w:jc w:val="right"/>
              <w:bidi w:val="1"/>
            </w:pPr>
            <w:r>
              <w:rPr>
                <w:rFonts w:ascii="Arial" w:hAnsi="Arial" w:cs="Arial"/>
                <w:b/>
                <w:i w:val="0"/>
                <w:color w:val="1F4E79"/>
                <w:sz w:val="19"/>
              </w:rPr>
              <w:t>الحياة الأبدية عطية.</w:t>
            </w:r>
          </w:p>
          <w:p>
            <w:pPr>
              <w:spacing w:after="0"/>
              <w:jc w:val="right"/>
              <w:bidi w:val="1"/>
            </w:pPr>
            <w:r>
              <w:rPr>
                <w:rFonts w:ascii="Arial" w:hAnsi="Arial" w:cs="Arial"/>
                <w:b w:val="0"/>
                <w:i w:val="0"/>
                <w:sz w:val="18"/>
              </w:rPr>
              <w:t>لا يمكن كسبها. يقدم الله الحياة الأبدية خلال الرب يسوع المسيح.</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4</w:t>
            </w:r>
          </w:p>
        </w:tc>
        <w:tc>
          <w:tcPr>
            <w:tcW w:type="dxa" w:w="4975"/>
          </w:tcPr>
          <w:p>
            <w:pPr>
              <w:jc w:val="right"/>
              <w:bidi w:val="1"/>
            </w:pPr>
            <w:r>
              <w:rPr>
                <w:rFonts w:ascii="Arial" w:hAnsi="Arial" w:cs="Arial"/>
                <w:b/>
                <w:i w:val="0"/>
                <w:color w:val="1F4E79"/>
                <w:sz w:val="19"/>
              </w:rPr>
              <w:t>العطية مستقبلية.</w:t>
            </w:r>
          </w:p>
          <w:p>
            <w:pPr>
              <w:spacing w:after="0"/>
              <w:jc w:val="right"/>
              <w:bidi w:val="1"/>
            </w:pPr>
            <w:r>
              <w:rPr>
                <w:rFonts w:ascii="Arial" w:hAnsi="Arial" w:cs="Arial"/>
                <w:b w:val="0"/>
                <w:i w:val="0"/>
                <w:sz w:val="18"/>
              </w:rPr>
              <w:t>ينال الأمناء عدم الموت في ارتباط بالقيامة والدينونة وعودة المسيح.</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5</w:t>
            </w:r>
          </w:p>
        </w:tc>
        <w:tc>
          <w:tcPr>
            <w:tcW w:type="dxa" w:w="4975"/>
          </w:tcPr>
          <w:p>
            <w:pPr>
              <w:jc w:val="right"/>
              <w:bidi w:val="1"/>
            </w:pPr>
            <w:r>
              <w:rPr>
                <w:rFonts w:ascii="Arial" w:hAnsi="Arial" w:cs="Arial"/>
                <w:b/>
                <w:i w:val="0"/>
                <w:color w:val="1F4E79"/>
                <w:sz w:val="19"/>
              </w:rPr>
              <w:t>القيامة جسدية.</w:t>
            </w:r>
          </w:p>
          <w:p>
            <w:pPr>
              <w:spacing w:after="0"/>
              <w:jc w:val="right"/>
              <w:bidi w:val="1"/>
            </w:pPr>
            <w:r>
              <w:rPr>
                <w:rFonts w:ascii="Arial" w:hAnsi="Arial" w:cs="Arial"/>
                <w:b w:val="0"/>
                <w:i w:val="0"/>
                <w:sz w:val="18"/>
              </w:rPr>
              <w:t>الأمناء ليسوا أرواحاً بلا جسد؛ بل تتحول أجسادهم المائتة إلى أجساد غير فاسدة وروحانية.</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6</w:t>
            </w:r>
          </w:p>
        </w:tc>
        <w:tc>
          <w:tcPr>
            <w:tcW w:type="dxa" w:w="4975"/>
          </w:tcPr>
          <w:p>
            <w:pPr>
              <w:jc w:val="right"/>
              <w:bidi w:val="1"/>
            </w:pPr>
            <w:r>
              <w:rPr>
                <w:rFonts w:ascii="Arial" w:hAnsi="Arial" w:cs="Arial"/>
                <w:b/>
                <w:i w:val="0"/>
                <w:color w:val="1F4E79"/>
                <w:sz w:val="19"/>
              </w:rPr>
              <w:t>عدم الموت يعني التحرر من الموت.</w:t>
            </w:r>
          </w:p>
          <w:p>
            <w:pPr>
              <w:spacing w:after="0"/>
              <w:jc w:val="right"/>
              <w:bidi w:val="1"/>
            </w:pPr>
            <w:r>
              <w:rPr>
                <w:rFonts w:ascii="Arial" w:hAnsi="Arial" w:cs="Arial"/>
                <w:b w:val="0"/>
                <w:i w:val="0"/>
                <w:sz w:val="18"/>
              </w:rPr>
              <w:t>المقبولون يُكمّلون للخدمة و«لا يموتون بعد».</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7</w:t>
            </w:r>
          </w:p>
        </w:tc>
        <w:tc>
          <w:tcPr>
            <w:tcW w:type="dxa" w:w="4975"/>
          </w:tcPr>
          <w:p>
            <w:pPr>
              <w:jc w:val="right"/>
              <w:bidi w:val="1"/>
            </w:pPr>
            <w:r>
              <w:rPr>
                <w:rFonts w:ascii="Arial" w:hAnsi="Arial" w:cs="Arial"/>
                <w:b/>
                <w:i w:val="0"/>
                <w:color w:val="1F4E79"/>
                <w:sz w:val="19"/>
              </w:rPr>
              <w:t>ينتهي قصد الله بنصر كامل.</w:t>
            </w:r>
          </w:p>
          <w:p>
            <w:pPr>
              <w:spacing w:after="0"/>
              <w:jc w:val="right"/>
              <w:bidi w:val="1"/>
            </w:pPr>
            <w:r>
              <w:rPr>
                <w:rFonts w:ascii="Arial" w:hAnsi="Arial" w:cs="Arial"/>
                <w:b w:val="0"/>
                <w:i w:val="0"/>
                <w:sz w:val="18"/>
              </w:rPr>
              <w:t>بعد اكتمال عمل المسيح يُبطل الموت ويكون الله «الكل في الكل».</w:t>
            </w:r>
          </w:p>
        </w:tc>
      </w:tr>
    </w:tbl>
    <w:p>
      <w:pPr>
        <w:spacing w:before="80" w:after="30"/>
        <w:jc w:val="right"/>
        <w:keepNext/>
        <w:bidi w:val="1"/>
      </w:pPr>
      <w:r>
        <w:rPr>
          <w:rFonts w:ascii="Arial" w:hAnsi="Arial" w:cs="Arial"/>
          <w:b/>
          <w:i w:val="0"/>
          <w:color w:val="1F4E79"/>
          <w:sz w:val="25"/>
        </w:rPr>
        <w:t>مواضع للقراءة</w:t>
      </w:r>
    </w:p>
    <w:p>
      <w:pPr>
        <w:spacing w:after="44" w:line="240" w:lineRule="auto"/>
        <w:jc w:val="right"/>
        <w:bidi w:val="1"/>
      </w:pPr>
      <w:r>
        <w:rPr>
          <w:rFonts w:ascii="Arial" w:hAnsi="Arial" w:cs="Arial"/>
          <w:b w:val="0"/>
          <w:i w:val="0"/>
          <w:sz w:val="20"/>
        </w:rPr>
        <w:t>دانيال 12:1-3  •  يوحنا 17  •  كورنثوس الأولى 15:50-57</w:t>
      </w:r>
    </w:p>
    <w:p>
      <w:pPr>
        <w:spacing w:before="80" w:after="30"/>
        <w:jc w:val="right"/>
        <w:keepNext/>
        <w:bidi w:val="1"/>
      </w:pPr>
      <w:r>
        <w:rPr>
          <w:rFonts w:ascii="Arial" w:hAnsi="Arial" w:cs="Arial"/>
          <w:b/>
          <w:i w:val="0"/>
          <w:color w:val="1F4E79"/>
          <w:sz w:val="25"/>
        </w:rPr>
        <w:t>للحفظ  •  يوحنا 3:16</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«لأنه هكذا أحب الله العالم حتى بذل ابنه الوحيد لكي لا يهلك كل من يؤمن به بل تكون له الحياة الأبدية.»</w:t>
            </w:r>
          </w:p>
          <w:p>
            <w:pPr>
              <w:spacing w:after="0"/>
              <w:jc w:val="right"/>
              <w:bidi w:val="1"/>
            </w:pPr>
            <w:r>
              <w:rPr>
                <w:rFonts w:ascii="Arial" w:hAnsi="Arial" w:cs="Arial"/>
                <w:b/>
                <w:i w:val="0"/>
                <w:color w:val="333333"/>
                <w:sz w:val="17"/>
              </w:rPr>
              <w:t>يوحنا 3:16  •  King James Version</w:t>
            </w:r>
          </w:p>
        </w:tc>
      </w:tr>
    </w:tbl>
    <w:sectPr w:rsidR="00FC693F" w:rsidRPr="0006063C" w:rsidSect="00034616">
      <w:headerReference w:type="default" r:id="rId9"/>
      <w:footerReference w:type="default" r:id="rId10"/>
      <w:pgSz w:w="11909" w:h="16834"/>
      <w:pgMar w:top="806"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