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Arial" w:hAnsi="Arial" w:cs="Arial"/>
          <w:b/>
          <w:i w:val="0"/>
          <w:color w:val="1F4E79"/>
          <w:sz w:val="20"/>
        </w:rPr>
        <w:t>الدرس 34</w:t>
      </w:r>
    </w:p>
    <w:p>
      <w:pPr>
        <w:jc w:val="center"/>
        <w:bidi w:val="1"/>
      </w:pPr>
      <w:r>
        <w:rPr>
          <w:rFonts w:ascii="Arial" w:hAnsi="Arial" w:cs="Arial"/>
          <w:b/>
          <w:i w:val="0"/>
          <w:color w:val="1F4E79"/>
          <w:sz w:val="36"/>
        </w:rPr>
        <w:t>واجبنا نحو الدولة</w:t>
      </w:r>
    </w:p>
    <w:p>
      <w:pPr>
        <w:spacing w:after="80"/>
        <w:jc w:val="center"/>
        <w:bidi w:val="1"/>
      </w:pPr>
      <w:r>
        <w:rPr>
          <w:rFonts w:ascii="Arial" w:hAnsi="Arial" w:cs="Arial"/>
          <w:b/>
          <w:i w:val="0"/>
          <w:color w:val="333333"/>
          <w:sz w:val="20"/>
        </w:rPr>
        <w:t>القراءة  •  بطرس الأولى 2</w:t>
      </w:r>
    </w:p>
    <w:p>
      <w:pPr>
        <w:spacing w:before="70" w:after="24"/>
        <w:jc w:val="right"/>
        <w:keepNext/>
        <w:bidi w:val="1"/>
      </w:pPr>
      <w:r>
        <w:rPr>
          <w:rFonts w:ascii="Arial" w:hAnsi="Arial" w:cs="Arial"/>
          <w:b/>
          <w:i w:val="0"/>
          <w:color w:val="1F4E79"/>
          <w:sz w:val="24"/>
        </w:rPr>
        <w:t>ولاءان — لكن الأولوية واحدة</w:t>
      </w:r>
    </w:p>
    <w:p>
      <w:pPr>
        <w:spacing w:after="34" w:line="240" w:lineRule="auto"/>
        <w:jc w:val="right"/>
        <w:bidi w:val="1"/>
      </w:pPr>
      <w:r>
        <w:rPr>
          <w:rFonts w:ascii="Arial" w:hAnsi="Arial" w:cs="Arial"/>
          <w:b w:val="0"/>
          <w:i w:val="0"/>
          <w:sz w:val="19"/>
        </w:rPr>
        <w:t>يعيش تلميذ يسوع داخل دولة بشرية، وينبغي أن يكون مواطناً مسالماً وصادقاً ويحترم القانون. ومع ذلك يبقى أعلى ولائه لله ولمملكته الآتية. وغالباً ما تنسجم الواجبات المدنية مع هذا الولاء، لكن إذا وقع تعارض حقيقي فالله هو الأول.</w:t>
      </w:r>
    </w:p>
    <w:p>
      <w:pPr>
        <w:spacing w:before="70" w:after="24"/>
        <w:jc w:val="right"/>
        <w:keepNext/>
        <w:bidi w:val="1"/>
      </w:pPr>
      <w:r>
        <w:rPr>
          <w:rFonts w:ascii="Arial" w:hAnsi="Arial" w:cs="Arial"/>
          <w:b/>
          <w:i w:val="0"/>
          <w:color w:val="1F4E79"/>
          <w:sz w:val="24"/>
        </w:rPr>
        <w:t>الله يدعو شعباً من كل أمة</w:t>
      </w:r>
    </w:p>
    <w:p>
      <w:pPr>
        <w:spacing w:after="34" w:line="240" w:lineRule="auto"/>
        <w:jc w:val="right"/>
        <w:bidi w:val="1"/>
      </w:pPr>
      <w:r>
        <w:rPr>
          <w:rFonts w:ascii="Arial" w:hAnsi="Arial" w:cs="Arial"/>
          <w:b w:val="0"/>
          <w:i w:val="0"/>
          <w:sz w:val="19"/>
        </w:rPr>
        <w:t>في زمن الكتاب كان إسرائيل قد تكوّن كأمة الله. أما اليوم فالإنجيل يدعو رجالاً ونساء من كل شعب ولسان لينتموا إلى المسيح. ويصف يوحنا المفديين كجمع عظيم من جميع الأمم:</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«جمع كثير لم يستطع أحد أن يعده، من كل الأمم والقبائل والشعوب والألسنة، واقفون أمام العرش وأمام الخروف.»</w:t>
            </w:r>
          </w:p>
          <w:p>
            <w:pPr>
              <w:spacing w:after="0"/>
              <w:jc w:val="right"/>
              <w:bidi w:val="1"/>
            </w:pPr>
            <w:r>
              <w:rPr>
                <w:rFonts w:ascii="Arial" w:hAnsi="Arial" w:cs="Arial"/>
                <w:b/>
                <w:i w:val="0"/>
                <w:color w:val="333333"/>
                <w:sz w:val="17"/>
              </w:rPr>
              <w:t>رؤيا 7:9  •  King James Version</w:t>
            </w:r>
          </w:p>
        </w:tc>
      </w:tr>
    </w:tbl>
    <w:p>
      <w:pPr>
        <w:spacing w:after="34" w:line="240" w:lineRule="auto"/>
        <w:jc w:val="right"/>
        <w:bidi w:val="1"/>
      </w:pPr>
      <w:r>
        <w:rPr>
          <w:rFonts w:ascii="Arial" w:hAnsi="Arial" w:cs="Arial"/>
          <w:b w:val="0"/>
          <w:i w:val="0"/>
          <w:sz w:val="19"/>
        </w:rPr>
        <w:t>يرتكز رجاؤهم على عودة الرب يسوع المسيح وإقامة مملكة الله على الأرض. وهذا يعطي المؤمنين هوية وولاء يتجاوزان أي نظام سياسي حاضر.</w:t>
      </w:r>
    </w:p>
    <w:p>
      <w:pPr>
        <w:spacing w:before="70" w:after="24"/>
        <w:jc w:val="right"/>
        <w:keepNext/>
        <w:bidi w:val="1"/>
      </w:pPr>
      <w:r>
        <w:rPr>
          <w:rFonts w:ascii="Arial" w:hAnsi="Arial" w:cs="Arial"/>
          <w:b/>
          <w:i w:val="0"/>
          <w:color w:val="1F4E79"/>
          <w:sz w:val="24"/>
        </w:rPr>
        <w:t>مملكة الله في الماضي</w:t>
      </w:r>
    </w:p>
    <w:p>
      <w:pPr>
        <w:spacing w:after="34" w:line="240" w:lineRule="auto"/>
        <w:jc w:val="right"/>
        <w:bidi w:val="1"/>
      </w:pPr>
      <w:r>
        <w:rPr>
          <w:rFonts w:ascii="Arial" w:hAnsi="Arial" w:cs="Arial"/>
          <w:b w:val="0"/>
          <w:i w:val="0"/>
          <w:sz w:val="19"/>
        </w:rPr>
        <w:t>عند سيناء قطع الله عهداً مع إسرائيل وأعطاهم شريعته (الخروج 19:1-8). وفي ذلك الترتيب كانت شريعة الله أيضاً شريعة الأمة. وبعد ذلك ملك ملوك في أورشليم على ما يسميه الكتاب «كرسي الرب» (أخبار الأيام الأول 29:23).</w:t>
      </w:r>
    </w:p>
    <w:p>
      <w:pPr>
        <w:spacing w:after="34" w:line="240" w:lineRule="auto"/>
        <w:jc w:val="right"/>
        <w:bidi w:val="1"/>
      </w:pPr>
      <w:r>
        <w:rPr>
          <w:rFonts w:ascii="Arial" w:hAnsi="Arial" w:cs="Arial"/>
          <w:b w:val="0"/>
          <w:i w:val="0"/>
          <w:sz w:val="19"/>
        </w:rPr>
        <w:t>لم يستمر ذلك النظام. بسبب العصيان المتكرر غزت أشور المملكة الشمالية، ثم سُبي يهوذا إلى بابل. ووجد أمناء من إسرائيل أنفسهم يعيشون تحت حكومات لا تشاركهم إيمانهم. وتساعدنا خبرتهم في التفكير في حياة المسيحي داخل دول هذا العصر.</w:t>
      </w:r>
    </w:p>
    <w:p>
      <w:pPr>
        <w:spacing w:before="70" w:after="24"/>
        <w:jc w:val="right"/>
        <w:keepNext/>
        <w:bidi w:val="1"/>
      </w:pPr>
      <w:r>
        <w:rPr>
          <w:rFonts w:ascii="Arial" w:hAnsi="Arial" w:cs="Arial"/>
          <w:b/>
          <w:i w:val="0"/>
          <w:color w:val="1F4E79"/>
          <w:sz w:val="24"/>
        </w:rPr>
        <w:t>دانيال — أمين لله ونافع للدولة</w:t>
      </w:r>
    </w:p>
    <w:p>
      <w:pPr>
        <w:spacing w:after="34" w:line="240" w:lineRule="auto"/>
        <w:jc w:val="right"/>
        <w:bidi w:val="1"/>
      </w:pPr>
      <w:r>
        <w:rPr>
          <w:rFonts w:ascii="Arial" w:hAnsi="Arial" w:cs="Arial"/>
          <w:b w:val="0"/>
          <w:i w:val="0"/>
          <w:sz w:val="19"/>
        </w:rPr>
        <w:t>يقدم دانيال ورفاقه بعض أوضح الأمثلة. خدموا حكاماً أجانب بضمير وأمانة، لكنهم رفضوا أوامر تتطلب منهم عصيان الله.</w:t>
      </w:r>
    </w:p>
    <w:tbl>
      <w:tblPr>
        <w:tblStyle w:val="TableGrid"/>
        <w:tblW w:type="auto" w:w="0"/>
        <w:jc w:val="center"/>
        <w:tblLook w:firstColumn="1" w:firstRow="1" w:lastColumn="0" w:lastRow="0" w:noHBand="0" w:noVBand="1" w:val="04A0"/>
      </w:tblPr>
      <w:tblGrid>
        <w:gridCol w:w="3355"/>
        <w:gridCol w:w="3355"/>
        <w:gridCol w:w="3355"/>
      </w:tblGrid>
      <w:tr>
        <w:trPr>
          <w:cantSplit/>
        </w:trPr>
        <w:tc>
          <w:tcPr>
            <w:tcW w:type="dxa" w:w="3355"/>
            <w:shd w:fill="D9EAF7"/>
          </w:tcPr>
          <w:p>
            <w:pPr>
              <w:jc w:val="center"/>
              <w:keepNext/>
              <w:bidi w:val="1"/>
            </w:pPr>
            <w:r>
              <w:rPr>
                <w:rFonts w:ascii="Arial" w:hAnsi="Arial" w:cs="Arial"/>
                <w:b/>
                <w:i w:val="0"/>
                <w:color w:val="1F4E79"/>
                <w:sz w:val="15"/>
              </w:rPr>
              <w:t>الموقف</w:t>
            </w:r>
          </w:p>
        </w:tc>
        <w:tc>
          <w:tcPr>
            <w:tcW w:type="dxa" w:w="3355"/>
            <w:shd w:fill="D9EAF7"/>
          </w:tcPr>
          <w:p>
            <w:pPr>
              <w:jc w:val="center"/>
              <w:keepNext/>
              <w:bidi w:val="1"/>
            </w:pPr>
            <w:r>
              <w:rPr>
                <w:rFonts w:ascii="Arial" w:hAnsi="Arial" w:cs="Arial"/>
                <w:b/>
                <w:i w:val="0"/>
                <w:color w:val="1F4E79"/>
                <w:sz w:val="15"/>
              </w:rPr>
              <w:t>الاستجابة الأمينة</w:t>
            </w:r>
          </w:p>
        </w:tc>
        <w:tc>
          <w:tcPr>
            <w:tcW w:type="dxa" w:w="3355"/>
            <w:shd w:fill="D9EAF7"/>
          </w:tcPr>
          <w:p>
            <w:pPr>
              <w:jc w:val="center"/>
              <w:keepNext/>
              <w:bidi w:val="1"/>
            </w:pPr>
            <w:r>
              <w:rPr>
                <w:rFonts w:ascii="Arial" w:hAnsi="Arial" w:cs="Arial"/>
                <w:b/>
                <w:i w:val="0"/>
                <w:color w:val="1F4E79"/>
                <w:sz w:val="15"/>
              </w:rPr>
              <w:t>الدرس</w:t>
            </w:r>
          </w:p>
        </w:tc>
      </w:tr>
      <w:tr>
        <w:trPr>
          <w:cantSplit/>
        </w:trPr>
        <w:tc>
          <w:tcPr>
            <w:tcW w:type="dxa" w:w="3355"/>
          </w:tcPr>
          <w:p>
            <w:pPr>
              <w:spacing w:after="0"/>
              <w:jc w:val="right"/>
              <w:bidi w:val="1"/>
            </w:pPr>
            <w:r>
              <w:rPr>
                <w:rFonts w:ascii="Arial" w:hAnsi="Arial" w:cs="Arial"/>
                <w:b w:val="0"/>
                <w:i w:val="0"/>
                <w:sz w:val="15"/>
              </w:rPr>
              <w:t>دانيال 1:8 — طعام الملك كان ينجس ضمير دانيال.</w:t>
            </w:r>
          </w:p>
        </w:tc>
        <w:tc>
          <w:tcPr>
            <w:tcW w:type="dxa" w:w="3355"/>
          </w:tcPr>
          <w:p>
            <w:pPr>
              <w:spacing w:after="0"/>
              <w:jc w:val="right"/>
              <w:bidi w:val="1"/>
            </w:pPr>
            <w:r>
              <w:rPr>
                <w:rFonts w:ascii="Arial" w:hAnsi="Arial" w:cs="Arial"/>
                <w:b w:val="0"/>
                <w:i w:val="0"/>
                <w:sz w:val="15"/>
              </w:rPr>
              <w:t>طلب دانيال بديلاً باحترام بدلاً من إثارة صدام لا حاجة له.</w:t>
            </w:r>
          </w:p>
        </w:tc>
        <w:tc>
          <w:tcPr>
            <w:tcW w:type="dxa" w:w="3355"/>
          </w:tcPr>
          <w:p>
            <w:pPr>
              <w:spacing w:after="0"/>
              <w:jc w:val="right"/>
              <w:bidi w:val="1"/>
            </w:pPr>
            <w:r>
              <w:rPr>
                <w:rFonts w:ascii="Arial" w:hAnsi="Arial" w:cs="Arial"/>
                <w:b w:val="0"/>
                <w:i w:val="0"/>
                <w:sz w:val="15"/>
              </w:rPr>
              <w:t>أطع الله وتعامل باحترام وحكمة.</w:t>
            </w:r>
          </w:p>
        </w:tc>
      </w:tr>
      <w:tr>
        <w:trPr>
          <w:cantSplit/>
        </w:trPr>
        <w:tc>
          <w:tcPr>
            <w:tcW w:type="dxa" w:w="3355"/>
          </w:tcPr>
          <w:p>
            <w:pPr>
              <w:spacing w:after="0"/>
              <w:jc w:val="right"/>
              <w:bidi w:val="1"/>
            </w:pPr>
            <w:r>
              <w:rPr>
                <w:rFonts w:ascii="Arial" w:hAnsi="Arial" w:cs="Arial"/>
                <w:b w:val="0"/>
                <w:i w:val="0"/>
                <w:sz w:val="15"/>
              </w:rPr>
              <w:t>دانيال 3 — أُمروا بعبادة التمثال الذهبي.</w:t>
            </w:r>
          </w:p>
        </w:tc>
        <w:tc>
          <w:tcPr>
            <w:tcW w:type="dxa" w:w="3355"/>
          </w:tcPr>
          <w:p>
            <w:pPr>
              <w:spacing w:after="0"/>
              <w:jc w:val="right"/>
              <w:bidi w:val="1"/>
            </w:pPr>
            <w:r>
              <w:rPr>
                <w:rFonts w:ascii="Arial" w:hAnsi="Arial" w:cs="Arial"/>
                <w:b w:val="0"/>
                <w:i w:val="0"/>
                <w:sz w:val="15"/>
              </w:rPr>
              <w:t>رفض شدرخ وميشخ وعبدنغو السجود له رغم تهديد الموت.</w:t>
            </w:r>
          </w:p>
        </w:tc>
        <w:tc>
          <w:tcPr>
            <w:tcW w:type="dxa" w:w="3355"/>
          </w:tcPr>
          <w:p>
            <w:pPr>
              <w:spacing w:after="0"/>
              <w:jc w:val="right"/>
              <w:bidi w:val="1"/>
            </w:pPr>
            <w:r>
              <w:rPr>
                <w:rFonts w:ascii="Arial" w:hAnsi="Arial" w:cs="Arial"/>
                <w:b w:val="0"/>
                <w:i w:val="0"/>
                <w:sz w:val="15"/>
              </w:rPr>
              <w:t>العبادة لله وحده.</w:t>
            </w:r>
          </w:p>
        </w:tc>
      </w:tr>
      <w:tr>
        <w:trPr>
          <w:cantSplit/>
        </w:trPr>
        <w:tc>
          <w:tcPr>
            <w:tcW w:type="dxa" w:w="3355"/>
          </w:tcPr>
          <w:p>
            <w:pPr>
              <w:spacing w:after="0"/>
              <w:jc w:val="right"/>
              <w:bidi w:val="1"/>
            </w:pPr>
            <w:r>
              <w:rPr>
                <w:rFonts w:ascii="Arial" w:hAnsi="Arial" w:cs="Arial"/>
                <w:b w:val="0"/>
                <w:i w:val="0"/>
                <w:sz w:val="15"/>
              </w:rPr>
              <w:t>دانيال 6 — مُنع الدعاء لأي أحد غير الملك ثلاثين يوماً.</w:t>
            </w:r>
          </w:p>
        </w:tc>
        <w:tc>
          <w:tcPr>
            <w:tcW w:type="dxa" w:w="3355"/>
          </w:tcPr>
          <w:p>
            <w:pPr>
              <w:spacing w:after="0"/>
              <w:jc w:val="right"/>
              <w:bidi w:val="1"/>
            </w:pPr>
            <w:r>
              <w:rPr>
                <w:rFonts w:ascii="Arial" w:hAnsi="Arial" w:cs="Arial"/>
                <w:b w:val="0"/>
                <w:i w:val="0"/>
                <w:sz w:val="15"/>
              </w:rPr>
              <w:t>استمر دانيال في صلاته المعتادة لله كما كان يفعل من قبل.</w:t>
            </w:r>
          </w:p>
        </w:tc>
        <w:tc>
          <w:tcPr>
            <w:tcW w:type="dxa" w:w="3355"/>
          </w:tcPr>
          <w:p>
            <w:pPr>
              <w:spacing w:after="0"/>
              <w:jc w:val="right"/>
              <w:bidi w:val="1"/>
            </w:pPr>
            <w:r>
              <w:rPr>
                <w:rFonts w:ascii="Arial" w:hAnsi="Arial" w:cs="Arial"/>
                <w:b w:val="0"/>
                <w:i w:val="0"/>
                <w:sz w:val="15"/>
              </w:rPr>
              <w:t>لا يستطيع قانون بشري إلغاء واجب لله.</w:t>
            </w:r>
          </w:p>
        </w:tc>
      </w:tr>
    </w:tbl>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المبدأ</w:t>
            </w:r>
          </w:p>
          <w:p>
            <w:pPr>
              <w:spacing w:after="0"/>
              <w:jc w:val="right"/>
              <w:bidi w:val="1"/>
            </w:pPr>
            <w:r>
              <w:rPr>
                <w:rFonts w:ascii="Arial" w:hAnsi="Arial" w:cs="Arial"/>
                <w:b w:val="0"/>
                <w:i w:val="0"/>
                <w:sz w:val="18"/>
              </w:rPr>
              <w:t>ينبغي للمسيحي أن يطيع قانون البلد الذي يعيش فيه ما لم تتطلب الطاعة عصيان الله. وحتى حين يحدث التعارض يجب أن يتصرف المؤمن بسلام ووضوح ومن دون استفزاز غير ضروري.</w:t>
            </w:r>
          </w:p>
        </w:tc>
      </w:tr>
    </w:tbl>
    <w:p>
      <w:pPr>
        <w:spacing w:before="70" w:after="24"/>
        <w:jc w:val="right"/>
        <w:keepNext/>
        <w:bidi w:val="1"/>
      </w:pPr>
      <w:r>
        <w:rPr>
          <w:rFonts w:ascii="Arial" w:hAnsi="Arial" w:cs="Arial"/>
          <w:b/>
          <w:i w:val="0"/>
          <w:color w:val="1F4E79"/>
          <w:sz w:val="24"/>
        </w:rPr>
        <w:t>يسوع تحت الحكم الروماني</w:t>
      </w:r>
    </w:p>
    <w:p>
      <w:pPr>
        <w:spacing w:after="34" w:line="240" w:lineRule="auto"/>
        <w:jc w:val="right"/>
        <w:bidi w:val="1"/>
      </w:pPr>
      <w:r>
        <w:rPr>
          <w:rFonts w:ascii="Arial" w:hAnsi="Arial" w:cs="Arial"/>
          <w:b w:val="0"/>
          <w:i w:val="0"/>
          <w:sz w:val="19"/>
        </w:rPr>
        <w:t>عاش الرب يسوع في أرض تحت سيطرة روما. ولم يعلّم تلاميذه تجاهل الالتزامات المدنية لمجرد أن الحكام غير كاملين. وحين سُئل عن الجزية لقيصر أعطى مبدأ لا يزال يوجّه المؤمنين:</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«أعطوا إذاً ما لقيصر لقيصر وما لله لله.»</w:t>
            </w:r>
          </w:p>
          <w:p>
            <w:pPr>
              <w:spacing w:after="0"/>
              <w:jc w:val="right"/>
              <w:bidi w:val="1"/>
            </w:pPr>
            <w:r>
              <w:rPr>
                <w:rFonts w:ascii="Arial" w:hAnsi="Arial" w:cs="Arial"/>
                <w:b/>
                <w:i w:val="0"/>
                <w:color w:val="333333"/>
                <w:sz w:val="17"/>
              </w:rPr>
              <w:t>متى 22:21  •  King James Version</w:t>
            </w:r>
          </w:p>
        </w:tc>
      </w:tr>
    </w:tbl>
    <w:p>
      <w:pPr>
        <w:spacing w:after="34" w:line="240" w:lineRule="auto"/>
        <w:jc w:val="right"/>
        <w:bidi w:val="1"/>
      </w:pPr>
      <w:r>
        <w:rPr>
          <w:rFonts w:ascii="Arial" w:hAnsi="Arial" w:cs="Arial"/>
          <w:b w:val="0"/>
          <w:i w:val="0"/>
          <w:sz w:val="19"/>
        </w:rPr>
        <w:t>هناك أمور تُدفع بحق للسلطة المدنية: الضرائب القانونية، والصدق في المعاملات العامة، واحترام السلطة، والسلوك الذي يعزز السلام. ويشرح بولس هذا في رومية 13 قائلاً: «الجزية لمن له الجزية» (رومية 13:7).</w:t>
      </w:r>
    </w:p>
    <w:p>
      <w:pPr>
        <w:spacing w:before="70" w:after="24"/>
        <w:jc w:val="right"/>
        <w:keepNext/>
        <w:bidi w:val="1"/>
      </w:pPr>
      <w:r>
        <w:rPr>
          <w:rFonts w:ascii="Arial" w:hAnsi="Arial" w:cs="Arial"/>
          <w:b/>
          <w:i w:val="0"/>
          <w:color w:val="1F4E79"/>
          <w:sz w:val="24"/>
        </w:rPr>
        <w:t>احترام السلطة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«فاخضعوا لكل ترتيب بشري من أجل الرب: إن كان للملك فكمن هو فوق الكل، أو للولاة فكمرسلين منه.»</w:t>
            </w:r>
          </w:p>
          <w:p>
            <w:pPr>
              <w:spacing w:after="0"/>
              <w:jc w:val="right"/>
              <w:bidi w:val="1"/>
            </w:pPr>
            <w:r>
              <w:rPr>
                <w:rFonts w:ascii="Arial" w:hAnsi="Arial" w:cs="Arial"/>
                <w:b/>
                <w:i w:val="0"/>
                <w:color w:val="333333"/>
                <w:sz w:val="17"/>
              </w:rPr>
              <w:t>بطرس الأولى 2:13-14  •  King James Version</w:t>
            </w:r>
          </w:p>
        </w:tc>
      </w:tr>
    </w:tbl>
    <w:p>
      <w:pPr>
        <w:spacing w:after="34" w:line="240" w:lineRule="auto"/>
        <w:jc w:val="right"/>
        <w:bidi w:val="1"/>
      </w:pPr>
      <w:r>
        <w:rPr>
          <w:rFonts w:ascii="Arial" w:hAnsi="Arial" w:cs="Arial"/>
          <w:b w:val="0"/>
          <w:i w:val="0"/>
          <w:sz w:val="19"/>
        </w:rPr>
        <w:t>كتب بطرس إلى مؤمنين لم يكونوا يسيطرون على النظام السياسي حولهم. ولم يطلب منهم أن يكونوا فوضويين أو خصوميين، بل أن يعيشوا بكرامة. ويقول الاصحاح نفسه: «أكرموا الجميع. أحبوا الإخوة. خافوا الله. أكرموا الملك» (بطرس الأولى 2:17).</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الخضوع ليس عبادة</w:t>
            </w:r>
          </w:p>
          <w:p>
            <w:pPr>
              <w:spacing w:after="0"/>
              <w:jc w:val="right"/>
              <w:bidi w:val="1"/>
            </w:pPr>
            <w:r>
              <w:rPr>
                <w:rFonts w:ascii="Arial" w:hAnsi="Arial" w:cs="Arial"/>
                <w:b w:val="0"/>
                <w:i w:val="0"/>
                <w:sz w:val="18"/>
              </w:rPr>
              <w:t>احترام السلطة المدنية لا يعني اعتبار الحكام معصومين أخلاقياً، ولا الموافقة على كل سياسة، ولا إعطاء الدولة العبادة والولاء المطلق اللذين يخصان الله. يحترم المسيحي السلطة لأن الله يأمر بالسلوك المنظم والمسالم.</w:t>
            </w:r>
          </w:p>
        </w:tc>
      </w:tr>
    </w:tbl>
    <w:p>
      <w:pPr>
        <w:spacing w:before="70" w:after="24"/>
        <w:jc w:val="right"/>
        <w:keepNext/>
        <w:bidi w:val="1"/>
      </w:pPr>
      <w:r>
        <w:rPr>
          <w:rFonts w:ascii="Arial" w:hAnsi="Arial" w:cs="Arial"/>
          <w:b/>
          <w:i w:val="0"/>
          <w:color w:val="1F4E79"/>
          <w:sz w:val="24"/>
        </w:rPr>
        <w:t>حين تتعارض السلطة البشرية مع الله</w:t>
      </w:r>
    </w:p>
    <w:p>
      <w:pPr>
        <w:spacing w:after="34" w:line="240" w:lineRule="auto"/>
        <w:jc w:val="right"/>
        <w:bidi w:val="1"/>
      </w:pPr>
      <w:r>
        <w:rPr>
          <w:rFonts w:ascii="Arial" w:hAnsi="Arial" w:cs="Arial"/>
          <w:b w:val="0"/>
          <w:i w:val="0"/>
          <w:sz w:val="19"/>
        </w:rPr>
        <w:t>واجه الرسل أنفسهم هذه المشكلة عندما أُمروا أن يتوقفوا عن التعليم باسم يسوع. وكان جوابهم بسيطاً وحاسماً:</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«ينبغي أن يطاع الله أكثر من الناس.»</w:t>
            </w:r>
          </w:p>
          <w:p>
            <w:pPr>
              <w:spacing w:after="0"/>
              <w:jc w:val="right"/>
              <w:bidi w:val="1"/>
            </w:pPr>
            <w:r>
              <w:rPr>
                <w:rFonts w:ascii="Arial" w:hAnsi="Arial" w:cs="Arial"/>
                <w:b/>
                <w:i w:val="0"/>
                <w:color w:val="333333"/>
                <w:sz w:val="17"/>
              </w:rPr>
              <w:t>أعمال 5:29  •  King James Version</w:t>
            </w:r>
          </w:p>
        </w:tc>
      </w:tr>
    </w:tbl>
    <w:p>
      <w:pPr>
        <w:spacing w:after="34" w:line="240" w:lineRule="auto"/>
        <w:jc w:val="right"/>
        <w:bidi w:val="1"/>
      </w:pPr>
      <w:r>
        <w:rPr>
          <w:rFonts w:ascii="Arial" w:hAnsi="Arial" w:cs="Arial"/>
          <w:b w:val="0"/>
          <w:i w:val="0"/>
          <w:sz w:val="19"/>
        </w:rPr>
        <w:t>لم تكن هذه عبارة لمقاومة القوانين التي لا تعجبهم. استُخدمت عندما طلبت السلطة منهم مباشرة ما يخالف أمر الله. قبل الرسل نتائج طاعتهم واستمروا في شهادتهم من دون تمرد عنيف.</w:t>
      </w:r>
    </w:p>
    <w:p>
      <w:pPr>
        <w:spacing w:before="70" w:after="24"/>
        <w:jc w:val="right"/>
        <w:keepNext/>
        <w:bidi w:val="1"/>
      </w:pPr>
      <w:r>
        <w:rPr>
          <w:rFonts w:ascii="Arial" w:hAnsi="Arial" w:cs="Arial"/>
          <w:b/>
          <w:i w:val="0"/>
          <w:color w:val="1F4E79"/>
          <w:sz w:val="24"/>
        </w:rPr>
        <w:t>يسوع وممالك هذا العالم</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«مملكتي ليست من هذا العالم. لو كانت مملكتي من هذا العالم لكان خدامي يجاهدون ... ولكن الآن ليست مملكتي من هنا.»</w:t>
            </w:r>
          </w:p>
          <w:p>
            <w:pPr>
              <w:spacing w:after="0"/>
              <w:jc w:val="right"/>
              <w:bidi w:val="1"/>
            </w:pPr>
            <w:r>
              <w:rPr>
                <w:rFonts w:ascii="Arial" w:hAnsi="Arial" w:cs="Arial"/>
                <w:b/>
                <w:i w:val="0"/>
                <w:color w:val="333333"/>
                <w:sz w:val="17"/>
              </w:rPr>
              <w:t>يوحنا 18:36  •  King James Version</w:t>
            </w:r>
          </w:p>
        </w:tc>
      </w:tr>
    </w:tbl>
    <w:p>
      <w:pPr>
        <w:spacing w:after="34" w:line="240" w:lineRule="auto"/>
        <w:jc w:val="right"/>
        <w:bidi w:val="1"/>
      </w:pPr>
      <w:r>
        <w:rPr>
          <w:rFonts w:ascii="Arial" w:hAnsi="Arial" w:cs="Arial"/>
          <w:b w:val="0"/>
          <w:i w:val="0"/>
          <w:sz w:val="19"/>
        </w:rPr>
        <w:t>عبارة «ليست من هذا العالم» لا تعني أن مملكة المسيح لن تكون على الأرض. كان يسوع يوضح أن أصل سلطانها ليس النظام السياسي المحيط به آنذاك. ولم يكن خدامه سيقيمون ملكه بالقتال. تأتي المملكة بفعل الله حين يعود المسيح.</w:t>
      </w:r>
    </w:p>
    <w:p>
      <w:pPr>
        <w:spacing w:before="70" w:after="24"/>
        <w:jc w:val="right"/>
        <w:keepNext/>
        <w:bidi w:val="1"/>
      </w:pPr>
      <w:r>
        <w:rPr>
          <w:rFonts w:ascii="Arial" w:hAnsi="Arial" w:cs="Arial"/>
          <w:b/>
          <w:i w:val="0"/>
          <w:color w:val="1F4E79"/>
          <w:sz w:val="24"/>
        </w:rPr>
        <w:t>السياسة والموقف الكريستادلفي</w:t>
      </w:r>
    </w:p>
    <w:p>
      <w:pPr>
        <w:spacing w:after="34" w:line="240" w:lineRule="auto"/>
        <w:jc w:val="right"/>
        <w:bidi w:val="1"/>
      </w:pPr>
      <w:r>
        <w:rPr>
          <w:rFonts w:ascii="Arial" w:hAnsi="Arial" w:cs="Arial"/>
          <w:b w:val="0"/>
          <w:i w:val="0"/>
          <w:sz w:val="19"/>
        </w:rPr>
        <w:t>فهم الكريستادلفيان تقليدياً هذه المبادئ على أن التلاميذ ينبغي أن يحافظوا على حياد سياسي. رجاؤنا ليس أن حزباً أو حكومة بشرية ستقيم مملكة الله، بل أن يسوع المسيح سيعود ويحكم الأرض بالبر.</w:t>
      </w:r>
    </w:p>
    <w:p>
      <w:pPr>
        <w:spacing w:after="34" w:line="240" w:lineRule="auto"/>
        <w:jc w:val="right"/>
        <w:bidi w:val="1"/>
      </w:pPr>
      <w:r>
        <w:rPr>
          <w:rFonts w:ascii="Arial" w:hAnsi="Arial" w:cs="Arial"/>
          <w:b w:val="0"/>
          <w:i w:val="0"/>
          <w:sz w:val="19"/>
        </w:rPr>
        <w:t>ولهذا لا يترشح الكريستادلفيان عادة للمناصب السياسية، ولا يقومون بحملات للأحزاب، ولا يصوتون في الانتخابات. هذا استنتاج من فهمنا للانفصال المسيحي والولاء للملك الآتي؛ وليس ادعاء بأن آية منفردة تذكر الانتخابات الحديثة مباشرة.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«وأما أنتم فجنس مختار وكهنوت ملوكي وأمة مقدسة وشعب اقتناء، لكي تخبروا بفضائل الذي دعاكم من الظلمة إلى نوره العجيب.»</w:t>
            </w:r>
          </w:p>
          <w:p>
            <w:pPr>
              <w:spacing w:after="0"/>
              <w:jc w:val="right"/>
              <w:bidi w:val="1"/>
            </w:pPr>
            <w:r>
              <w:rPr>
                <w:rFonts w:ascii="Arial" w:hAnsi="Arial" w:cs="Arial"/>
                <w:b/>
                <w:i w:val="0"/>
                <w:color w:val="333333"/>
                <w:sz w:val="17"/>
              </w:rPr>
              <w:t>بطرس الأولى 2:9  •  King James Version</w:t>
            </w:r>
          </w:p>
        </w:tc>
      </w:tr>
    </w:tbl>
    <w:p>
      <w:pPr>
        <w:spacing w:after="34" w:line="240" w:lineRule="auto"/>
        <w:jc w:val="right"/>
        <w:bidi w:val="1"/>
      </w:pPr>
      <w:r>
        <w:rPr>
          <w:rFonts w:ascii="Arial" w:hAnsi="Arial" w:cs="Arial"/>
          <w:b w:val="0"/>
          <w:i w:val="0"/>
          <w:sz w:val="19"/>
        </w:rPr>
        <w:t>تعطي كلمات بطرس المؤمنين هوية إيجابية. الانفصال لا يعني الانسحاب من الاهتمام بالجيران. ينبغي للمسيحي أن يكون نافعاً ورحيماً وصادقاً ومفيداً للمجتمع، مظهراً شخصية المسيح في الحياة اليومية.</w:t>
      </w:r>
    </w:p>
    <w:p>
      <w:pPr>
        <w:spacing w:before="70" w:after="24"/>
        <w:jc w:val="right"/>
        <w:keepNext/>
        <w:bidi w:val="1"/>
      </w:pPr>
      <w:r>
        <w:rPr>
          <w:rFonts w:ascii="Arial" w:hAnsi="Arial" w:cs="Arial"/>
          <w:b/>
          <w:i w:val="0"/>
          <w:color w:val="1F4E79"/>
          <w:sz w:val="24"/>
        </w:rPr>
        <w:t>الحرب والخدمة العسكرية واستخدام القوة</w:t>
      </w:r>
    </w:p>
    <w:p>
      <w:pPr>
        <w:spacing w:after="34" w:line="240" w:lineRule="auto"/>
        <w:jc w:val="right"/>
        <w:bidi w:val="1"/>
      </w:pPr>
      <w:r>
        <w:rPr>
          <w:rFonts w:ascii="Arial" w:hAnsi="Arial" w:cs="Arial"/>
          <w:b w:val="0"/>
          <w:i w:val="0"/>
          <w:sz w:val="19"/>
        </w:rPr>
        <w:t>ربط الدرس الأصلي الانفصال المسيحي بالخدمة العسكرية. وقد اتخذ الكريستادلفيان تاريخياً موقف الاعتراض الضميري: لا ينبغي لتلميذ المسيح أن يقتل في الحرب أو يضع نفسه تحت أوامر قد تلزمه بذلك. ويرتكز هذا على تعليم المسيح عن محبة الأعداء، ورفضه إقامة مملكته بالقوة، وانتظار المؤمنين مملكة الله بدلاً من القتال لممالك البشر.</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«أحبوا أعداءكم. باركوا لاعنيكم. أحسنوا إلى مبغضيكم. وصلوا لأجل الذين يسيئون إليكم ويطردونكم.»</w:t>
            </w:r>
          </w:p>
          <w:p>
            <w:pPr>
              <w:spacing w:after="0"/>
              <w:jc w:val="right"/>
              <w:bidi w:val="1"/>
            </w:pPr>
            <w:r>
              <w:rPr>
                <w:rFonts w:ascii="Arial" w:hAnsi="Arial" w:cs="Arial"/>
                <w:b/>
                <w:i w:val="0"/>
                <w:color w:val="333333"/>
                <w:sz w:val="17"/>
              </w:rPr>
              <w:t>متى 5:44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فكّر في الضمير قبل الأزمة</w:t>
            </w:r>
          </w:p>
          <w:p>
            <w:pPr>
              <w:spacing w:after="0"/>
              <w:jc w:val="right"/>
              <w:bidi w:val="1"/>
            </w:pPr>
            <w:r>
              <w:rPr>
                <w:rFonts w:ascii="Arial" w:hAnsi="Arial" w:cs="Arial"/>
                <w:b w:val="0"/>
                <w:i w:val="0"/>
                <w:sz w:val="18"/>
              </w:rPr>
              <w:t>ينبغي دراسة أسئلة الخدمة العسكرية والوظائف المسلحة والخدمة الوطنية الإلزامية من الكتاب قبل أن تنشأ أزمة. وحيث يتيح القانون مساراً للاعتراض الضميري ينبغي للمؤمن أن يستخدمه بصدق واحترام.</w:t>
            </w:r>
          </w:p>
        </w:tc>
      </w:tr>
    </w:tbl>
    <w:p>
      <w:pPr>
        <w:spacing w:before="70" w:after="24"/>
        <w:jc w:val="right"/>
        <w:keepNext/>
        <w:bidi w:val="1"/>
      </w:pPr>
      <w:r>
        <w:rPr>
          <w:rFonts w:ascii="Arial" w:hAnsi="Arial" w:cs="Arial"/>
          <w:b/>
          <w:i w:val="0"/>
          <w:color w:val="1F4E79"/>
          <w:sz w:val="24"/>
        </w:rPr>
        <w:t>الشرطة والوظائف التي قد تتطلب قوة قهرية</w:t>
      </w:r>
    </w:p>
    <w:p>
      <w:pPr>
        <w:spacing w:after="34" w:line="240" w:lineRule="auto"/>
        <w:jc w:val="right"/>
        <w:bidi w:val="1"/>
      </w:pPr>
      <w:r>
        <w:rPr>
          <w:rFonts w:ascii="Arial" w:hAnsi="Arial" w:cs="Arial"/>
          <w:b w:val="0"/>
          <w:i w:val="0"/>
          <w:sz w:val="19"/>
        </w:rPr>
        <w:t>قد تنشأ المشكلة نفسها في وظائف قد تتطلب استخدام قوة قاتلة أو المشاركة في الحرب أو أفعالاً تخالف الضمير المسيحي. وليس كل عمل عام متشابهاً؛ فينبغي تجنب التعميم. على المؤمن أن يدرس واجبات الوظيفة نفسها ويسأل هل يستطيع أداءها مع الحفاظ على شريعة المسيح.</w:t>
      </w:r>
    </w:p>
    <w:p>
      <w:pPr>
        <w:spacing w:after="34" w:line="240" w:lineRule="auto"/>
        <w:jc w:val="right"/>
        <w:bidi w:val="1"/>
      </w:pPr>
      <w:r>
        <w:rPr>
          <w:rFonts w:ascii="Arial" w:hAnsi="Arial" w:cs="Arial"/>
          <w:b w:val="0"/>
          <w:i w:val="0"/>
          <w:sz w:val="19"/>
        </w:rPr>
        <w:t>أما مجالات كثيرة من الخدمة العامة — الصحة والتعليم والإدارة والاستجابة للطوارئ والهندسة والرعاية الاجتماعية وغيرها — فقد تكون طرقاً نافعة لخدمة الآخرين. السؤال ليس هل جهة العمل مرتبطة بالدولة، بل هل يتطلب العمل نفسه عصيان الله.</w:t>
      </w:r>
    </w:p>
    <w:p>
      <w:pPr>
        <w:spacing w:before="70" w:after="24"/>
        <w:jc w:val="right"/>
        <w:keepNext/>
        <w:bidi w:val="1"/>
      </w:pPr>
      <w:r>
        <w:rPr>
          <w:rFonts w:ascii="Arial" w:hAnsi="Arial" w:cs="Arial"/>
          <w:b/>
          <w:i w:val="0"/>
          <w:color w:val="1F4E79"/>
          <w:sz w:val="24"/>
        </w:rPr>
        <w:t>الأقسام والكلام الصادق</w:t>
      </w:r>
    </w:p>
    <w:p>
      <w:pPr>
        <w:spacing w:after="34" w:line="240" w:lineRule="auto"/>
        <w:jc w:val="right"/>
        <w:bidi w:val="1"/>
      </w:pPr>
      <w:r>
        <w:rPr>
          <w:rFonts w:ascii="Arial" w:hAnsi="Arial" w:cs="Arial"/>
          <w:b w:val="0"/>
          <w:i w:val="0"/>
          <w:sz w:val="19"/>
        </w:rPr>
        <w:t>كان الكريستادلفيان أيضاً حذرين تقليدياً من أقسام الولاء والوعود الرسمية التي تبدو وكأنها تمنح سلطة أرضية حقاً مطلقاً في ولاء المؤمن. علّم يسوع الصدق المباشر: «ليكن كلامكم نعم نعم، لا لا» (متى 5:37). وفي أنظمة قانونية كثيرة يمكن استخدام تأكيد رسمي بدلاً من القسم.</w:t>
      </w:r>
    </w:p>
    <w:p>
      <w:pPr>
        <w:spacing w:before="70" w:after="24"/>
        <w:jc w:val="right"/>
        <w:keepNext/>
        <w:bidi w:val="1"/>
      </w:pPr>
      <w:r>
        <w:rPr>
          <w:rFonts w:ascii="Arial" w:hAnsi="Arial" w:cs="Arial"/>
          <w:b/>
          <w:i w:val="0"/>
          <w:color w:val="1F4E79"/>
          <w:sz w:val="24"/>
        </w:rPr>
        <w:t>الضرائب والقوانين والمسؤوليات المدنية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«فأعطوا الجميع حقوقهم: الجزية لمن له الجزية، الجباية لمن له الجباية، الخوف لمن له الخوف، والإكرام لمن له الإكرام.»</w:t>
            </w:r>
          </w:p>
          <w:p>
            <w:pPr>
              <w:spacing w:after="0"/>
              <w:jc w:val="right"/>
              <w:bidi w:val="1"/>
            </w:pPr>
            <w:r>
              <w:rPr>
                <w:rFonts w:ascii="Arial" w:hAnsi="Arial" w:cs="Arial"/>
                <w:b/>
                <w:i w:val="0"/>
                <w:color w:val="333333"/>
                <w:sz w:val="17"/>
              </w:rPr>
              <w:t>رومية 13:7  •  King James Version</w:t>
            </w:r>
          </w:p>
        </w:tc>
      </w:tr>
    </w:tbl>
    <w:p>
      <w:pPr>
        <w:spacing w:after="34" w:line="240" w:lineRule="auto"/>
        <w:jc w:val="right"/>
        <w:bidi w:val="1"/>
      </w:pPr>
      <w:r>
        <w:rPr>
          <w:rFonts w:ascii="Arial" w:hAnsi="Arial" w:cs="Arial"/>
          <w:b w:val="0"/>
          <w:i w:val="0"/>
          <w:sz w:val="19"/>
        </w:rPr>
        <w:t>الحياد السياسي لا يلغي الواجبات المدنية العادية. على التلميذ أن يدفع ما يجب قانوناً، ويحفظ الاتفاقات، ويحترم حقوق الآخرين، ويتعامل بصدق مع السلطات العامة.</w:t>
      </w:r>
    </w:p>
    <w:p>
      <w:pPr>
        <w:spacing w:before="70" w:after="24"/>
        <w:jc w:val="right"/>
        <w:keepNext/>
        <w:bidi w:val="1"/>
      </w:pPr>
      <w:r>
        <w:rPr>
          <w:rFonts w:ascii="Arial" w:hAnsi="Arial" w:cs="Arial"/>
          <w:b/>
          <w:i w:val="0"/>
          <w:color w:val="1F4E79"/>
          <w:sz w:val="24"/>
        </w:rPr>
        <w:t>هل يستطيع المسيحي الاعتراض على الظلم؟</w:t>
      </w:r>
    </w:p>
    <w:p>
      <w:pPr>
        <w:spacing w:after="34" w:line="240" w:lineRule="auto"/>
        <w:jc w:val="right"/>
        <w:bidi w:val="1"/>
      </w:pPr>
      <w:r>
        <w:rPr>
          <w:rFonts w:ascii="Arial" w:hAnsi="Arial" w:cs="Arial"/>
          <w:b w:val="0"/>
          <w:i w:val="0"/>
          <w:sz w:val="19"/>
        </w:rPr>
        <w:t>احترام الحكومة لا يوجب الصمت عن الظلم. استخدم بولس نفسه الحماية القانونية المتاحة له كمواطن روماني (أعمال 22:25-29؛ 25:10-12).</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عمل سلمي وقانوني</w:t>
            </w:r>
          </w:p>
          <w:p>
            <w:pPr>
              <w:spacing w:after="0"/>
              <w:jc w:val="right"/>
              <w:bidi w:val="1"/>
            </w:pPr>
            <w:r>
              <w:rPr>
                <w:rFonts w:ascii="Arial" w:hAnsi="Arial" w:cs="Arial"/>
                <w:b w:val="0"/>
                <w:i w:val="0"/>
                <w:sz w:val="18"/>
              </w:rPr>
              <w:t>يمكن للمسيحي أن يبلغ عن الخطأ، أو يستأنف قراراً ظالماً، أو يدافع عن حقوق قانونية عبر القنوات المشروعة. ويجب أن يميز سلوكه الصدق وضبط النفس والاحترام.</w:t>
            </w:r>
          </w:p>
        </w:tc>
      </w:tr>
    </w:tbl>
    <w:p>
      <w:pPr>
        <w:spacing w:before="70" w:after="24"/>
        <w:jc w:val="right"/>
        <w:keepNext/>
        <w:bidi w:val="1"/>
      </w:pPr>
      <w:r>
        <w:rPr>
          <w:rFonts w:ascii="Arial" w:hAnsi="Arial" w:cs="Arial"/>
          <w:b/>
          <w:i w:val="0"/>
          <w:color w:val="1F4E79"/>
          <w:sz w:val="24"/>
        </w:rPr>
        <w:t>مسؤولية المسيحي الأولى</w:t>
      </w:r>
    </w:p>
    <w:p>
      <w:pPr>
        <w:spacing w:after="34" w:line="240" w:lineRule="auto"/>
        <w:jc w:val="right"/>
        <w:bidi w:val="1"/>
      </w:pPr>
      <w:r>
        <w:rPr>
          <w:rFonts w:ascii="Arial" w:hAnsi="Arial" w:cs="Arial"/>
          <w:b w:val="0"/>
          <w:i w:val="0"/>
          <w:sz w:val="19"/>
        </w:rPr>
        <w:t>تتغير الحكومات والقوانين، لكن الله يبقى فوق الجميع. لا ينبغي أن يقود السلوك المسيحي ولاء حزبي أو قومية أو غضب أو خوف.</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«لم يكن لك عليَّ سلطان البتة لو لم تكن قد أُعطيت من فوق.»</w:t>
            </w:r>
          </w:p>
          <w:p>
            <w:pPr>
              <w:spacing w:after="0"/>
              <w:jc w:val="right"/>
              <w:bidi w:val="1"/>
            </w:pPr>
            <w:r>
              <w:rPr>
                <w:rFonts w:ascii="Arial" w:hAnsi="Arial" w:cs="Arial"/>
                <w:b/>
                <w:i w:val="0"/>
                <w:color w:val="333333"/>
                <w:sz w:val="17"/>
              </w:rPr>
              <w:t>يوحنا 19:11  •  King James Version</w:t>
            </w:r>
          </w:p>
        </w:tc>
      </w:tr>
    </w:tbl>
    <w:p>
      <w:pPr>
        <w:spacing w:after="34" w:line="240" w:lineRule="auto"/>
        <w:jc w:val="right"/>
        <w:bidi w:val="1"/>
      </w:pPr>
      <w:r>
        <w:rPr>
          <w:rFonts w:ascii="Arial" w:hAnsi="Arial" w:cs="Arial"/>
          <w:b w:val="0"/>
          <w:i w:val="0"/>
          <w:sz w:val="19"/>
        </w:rPr>
        <w:t>قال يسوع هذا وهو يواجه حكماً ظالماً. كانت ثقته في أبيه، وهذا المثال يساعد المؤمنين على الثبات عندما تخيب السلطات توقعاتهم.</w:t>
      </w:r>
    </w:p>
    <w:p>
      <w:pPr>
        <w:spacing w:before="70" w:after="24"/>
        <w:jc w:val="right"/>
        <w:keepNext/>
        <w:bidi w:val="1"/>
      </w:pPr>
      <w:r>
        <w:rPr>
          <w:rFonts w:ascii="Arial" w:hAnsi="Arial" w:cs="Arial"/>
          <w:b/>
          <w:i w:val="0"/>
          <w:color w:val="1F4E79"/>
          <w:sz w:val="24"/>
        </w:rPr>
        <w:t>كغرباء ونزلاء</w:t>
      </w:r>
    </w:p>
    <w:p>
      <w:pPr>
        <w:spacing w:after="34" w:line="240" w:lineRule="auto"/>
        <w:jc w:val="right"/>
        <w:bidi w:val="1"/>
      </w:pPr>
      <w:r>
        <w:rPr>
          <w:rFonts w:ascii="Arial" w:hAnsi="Arial" w:cs="Arial"/>
          <w:b w:val="0"/>
          <w:i w:val="0"/>
          <w:sz w:val="19"/>
        </w:rPr>
        <w:t>يدعو بطرس المؤمنين «غرباء ونزلاء» (بطرس الأولى 2:11). ما زلنا نعمل ونربي أسرنا ونساعد جيراننا ونؤدي الواجبات القانونية، لكن هذا العصر ليس رجاءنا النهائي.</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5"/>
              </w:rPr>
              <w:t>ما يحق للدولة أن تتوقعه</w:t>
            </w:r>
          </w:p>
        </w:tc>
        <w:tc>
          <w:tcPr>
            <w:tcW w:type="dxa" w:w="5032"/>
            <w:shd w:fill="D9EAF7"/>
          </w:tcPr>
          <w:p>
            <w:pPr>
              <w:jc w:val="center"/>
              <w:keepNext/>
              <w:bidi w:val="1"/>
            </w:pPr>
            <w:r>
              <w:rPr>
                <w:rFonts w:ascii="Arial" w:hAnsi="Arial" w:cs="Arial"/>
                <w:b/>
                <w:i w:val="0"/>
                <w:color w:val="1F4E79"/>
                <w:sz w:val="15"/>
              </w:rPr>
              <w:t>ما يجب أن يكون لله دائماً</w:t>
            </w:r>
          </w:p>
        </w:tc>
      </w:tr>
      <w:tr>
        <w:trPr>
          <w:cantSplit/>
        </w:trPr>
        <w:tc>
          <w:tcPr>
            <w:tcW w:type="dxa" w:w="5032"/>
          </w:tcPr>
          <w:p>
            <w:pPr>
              <w:spacing w:after="0"/>
              <w:jc w:val="right"/>
              <w:bidi w:val="1"/>
            </w:pPr>
            <w:r>
              <w:rPr>
                <w:rFonts w:ascii="Arial" w:hAnsi="Arial" w:cs="Arial"/>
                <w:b w:val="0"/>
                <w:i w:val="0"/>
                <w:sz w:val="15"/>
              </w:rPr>
              <w:t>طاعة قانونية وضرائب وسلوك مسالم</w:t>
            </w:r>
          </w:p>
        </w:tc>
        <w:tc>
          <w:tcPr>
            <w:tcW w:type="dxa" w:w="5032"/>
          </w:tcPr>
          <w:p>
            <w:pPr>
              <w:spacing w:after="0"/>
              <w:jc w:val="right"/>
              <w:bidi w:val="1"/>
            </w:pPr>
            <w:r>
              <w:rPr>
                <w:rFonts w:ascii="Arial" w:hAnsi="Arial" w:cs="Arial"/>
                <w:b w:val="0"/>
                <w:i w:val="0"/>
                <w:sz w:val="15"/>
              </w:rPr>
              <w:t>العبادة والولاء الأول والطاعة حين تتعارض الأوامر البشرية مع أمره</w:t>
            </w:r>
          </w:p>
        </w:tc>
      </w:tr>
      <w:tr>
        <w:trPr>
          <w:cantSplit/>
        </w:trPr>
        <w:tc>
          <w:tcPr>
            <w:tcW w:type="dxa" w:w="5032"/>
          </w:tcPr>
          <w:p>
            <w:pPr>
              <w:spacing w:after="0"/>
              <w:jc w:val="right"/>
              <w:bidi w:val="1"/>
            </w:pPr>
            <w:r>
              <w:rPr>
                <w:rFonts w:ascii="Arial" w:hAnsi="Arial" w:cs="Arial"/>
                <w:b w:val="0"/>
                <w:i w:val="0"/>
                <w:sz w:val="15"/>
              </w:rPr>
              <w:t>احترام الحكام والموظفين</w:t>
            </w:r>
          </w:p>
        </w:tc>
        <w:tc>
          <w:tcPr>
            <w:tcW w:type="dxa" w:w="5032"/>
          </w:tcPr>
          <w:p>
            <w:pPr>
              <w:spacing w:after="0"/>
              <w:jc w:val="right"/>
              <w:bidi w:val="1"/>
            </w:pPr>
            <w:r>
              <w:rPr>
                <w:rFonts w:ascii="Arial" w:hAnsi="Arial" w:cs="Arial"/>
                <w:b w:val="0"/>
                <w:i w:val="0"/>
                <w:sz w:val="15"/>
              </w:rPr>
              <w:t>الإيمان والضمير والولاء الأخلاقي</w:t>
            </w:r>
          </w:p>
        </w:tc>
      </w:tr>
      <w:tr>
        <w:trPr>
          <w:cantSplit/>
        </w:trPr>
        <w:tc>
          <w:tcPr>
            <w:tcW w:type="dxa" w:w="5032"/>
          </w:tcPr>
          <w:p>
            <w:pPr>
              <w:spacing w:after="0"/>
              <w:jc w:val="right"/>
              <w:bidi w:val="1"/>
            </w:pPr>
            <w:r>
              <w:rPr>
                <w:rFonts w:ascii="Arial" w:hAnsi="Arial" w:cs="Arial"/>
                <w:b w:val="0"/>
                <w:i w:val="0"/>
                <w:sz w:val="15"/>
              </w:rPr>
              <w:t>خدمة مسؤولة للجيران</w:t>
            </w:r>
          </w:p>
        </w:tc>
        <w:tc>
          <w:tcPr>
            <w:tcW w:type="dxa" w:w="5032"/>
          </w:tcPr>
          <w:p>
            <w:pPr>
              <w:spacing w:after="0"/>
              <w:jc w:val="right"/>
              <w:bidi w:val="1"/>
            </w:pPr>
            <w:r>
              <w:rPr>
                <w:rFonts w:ascii="Arial" w:hAnsi="Arial" w:cs="Arial"/>
                <w:b w:val="0"/>
                <w:i w:val="0"/>
                <w:sz w:val="15"/>
              </w:rPr>
              <w:t>الثقة أن مملكته، لا السياسة البشرية، ستصلح العالم في النهاية</w:t>
            </w:r>
          </w:p>
        </w:tc>
      </w:tr>
    </w:tbl>
    <w:p>
      <w:pPr>
        <w:spacing w:before="70" w:after="24"/>
        <w:jc w:val="right"/>
        <w:keepNext/>
        <w:bidi w:val="1"/>
      </w:pPr>
      <w:r>
        <w:rPr>
          <w:rFonts w:ascii="Arial" w:hAnsi="Arial" w:cs="Arial"/>
          <w:b/>
          <w:i w:val="0"/>
          <w:color w:val="1F4E79"/>
          <w:sz w:val="24"/>
        </w:rPr>
        <w:t>شهادة إيجابية في المجتمع</w:t>
      </w:r>
    </w:p>
    <w:p>
      <w:pPr>
        <w:spacing w:after="34" w:line="240" w:lineRule="auto"/>
        <w:jc w:val="right"/>
        <w:bidi w:val="1"/>
      </w:pPr>
      <w:r>
        <w:rPr>
          <w:rFonts w:ascii="Arial" w:hAnsi="Arial" w:cs="Arial"/>
          <w:b w:val="0"/>
          <w:i w:val="0"/>
          <w:sz w:val="19"/>
        </w:rPr>
        <w:t>لا يُدعى المسيحي فقط لتجنب السياسة أو الحرب أو الخطأ. يطلب بطرس من المؤمنين أن يعيشوا بكرامة حتى يرى الآخرون أعمالهم الصالحة ويمجدوا الله (بطرس الأولى 2:12). ينبغي للتلاميذ أن يكونوا موثوقين وصادقين ورحماء ونافعين لجيرانهم.</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2"/>
              <w:jc w:val="right"/>
              <w:bidi w:val="1"/>
            </w:pPr>
            <w:r>
              <w:rPr>
                <w:rFonts w:ascii="Arial" w:hAnsi="Arial" w:cs="Arial"/>
                <w:b/>
                <w:i w:val="0"/>
                <w:color w:val="1F4E79"/>
                <w:sz w:val="20"/>
              </w:rPr>
              <w:t>التوازن</w:t>
            </w:r>
          </w:p>
          <w:p>
            <w:pPr>
              <w:spacing w:after="0"/>
              <w:jc w:val="right"/>
              <w:bidi w:val="1"/>
            </w:pPr>
            <w:r>
              <w:rPr>
                <w:rFonts w:ascii="Arial" w:hAnsi="Arial" w:cs="Arial"/>
                <w:b w:val="0"/>
                <w:i w:val="0"/>
                <w:sz w:val="18"/>
              </w:rPr>
              <w:t>أطع الدولة حيث تستطيع. احترم مسؤوليها. ادفع ما عليك. استخدم الإجراءات القانونية بصدق. اصنع الخير لجيرانك. لكن لا تمنح أي سلطة بشرية الطاعة أو العبادة أو الولاء الذي لله وحده.</w:t>
            </w:r>
          </w:p>
        </w:tc>
      </w:tr>
    </w:tbl>
    <w:p>
      <w:pPr>
        <w:spacing w:before="70" w:after="24"/>
        <w:jc w:val="right"/>
        <w:keepNext/>
        <w:bidi w:val="1"/>
      </w:pPr>
      <w:r>
        <w:rPr>
          <w:rFonts w:ascii="Arial" w:hAnsi="Arial" w:cs="Arial"/>
          <w:b/>
          <w:i w:val="0"/>
          <w:color w:val="1F4E79"/>
          <w:sz w:val="24"/>
        </w:rPr>
        <w:t>الخلاصة</w:t>
      </w:r>
    </w:p>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1</w:t>
            </w:r>
          </w:p>
        </w:tc>
        <w:tc>
          <w:tcPr>
            <w:tcW w:type="dxa" w:w="5032"/>
          </w:tcPr>
          <w:p>
            <w:pPr>
              <w:jc w:val="right"/>
              <w:bidi w:val="1"/>
            </w:pPr>
            <w:r>
              <w:rPr>
                <w:rFonts w:ascii="Arial" w:hAnsi="Arial" w:cs="Arial"/>
                <w:b/>
                <w:i w:val="0"/>
                <w:color w:val="1F4E79"/>
                <w:sz w:val="19"/>
              </w:rPr>
              <w:t>الله أولاً.</w:t>
            </w:r>
          </w:p>
          <w:p>
            <w:pPr>
              <w:spacing w:after="0"/>
              <w:jc w:val="right"/>
              <w:bidi w:val="1"/>
            </w:pPr>
            <w:r>
              <w:rPr>
                <w:rFonts w:ascii="Arial" w:hAnsi="Arial" w:cs="Arial"/>
                <w:b w:val="0"/>
                <w:i w:val="0"/>
                <w:sz w:val="18"/>
              </w:rPr>
              <w:t>أعلى ولائنا لله وللرب يسوع المسيح.</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2</w:t>
            </w:r>
          </w:p>
        </w:tc>
        <w:tc>
          <w:tcPr>
            <w:tcW w:type="dxa" w:w="5032"/>
          </w:tcPr>
          <w:p>
            <w:pPr>
              <w:jc w:val="right"/>
              <w:bidi w:val="1"/>
            </w:pPr>
            <w:r>
              <w:rPr>
                <w:rFonts w:ascii="Arial" w:hAnsi="Arial" w:cs="Arial"/>
                <w:b/>
                <w:i w:val="0"/>
                <w:color w:val="1F4E79"/>
                <w:sz w:val="19"/>
              </w:rPr>
              <w:t>أطع السلطة القانونية.</w:t>
            </w:r>
          </w:p>
          <w:p>
            <w:pPr>
              <w:spacing w:after="0"/>
              <w:jc w:val="right"/>
              <w:bidi w:val="1"/>
            </w:pPr>
            <w:r>
              <w:rPr>
                <w:rFonts w:ascii="Arial" w:hAnsi="Arial" w:cs="Arial"/>
                <w:b w:val="0"/>
                <w:i w:val="0"/>
                <w:sz w:val="18"/>
              </w:rPr>
              <w:t>كن مسالماً وصادقاً، وادفع الضرائب وأدِّ الواجبات المدنية العادية.</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3</w:t>
            </w:r>
          </w:p>
        </w:tc>
        <w:tc>
          <w:tcPr>
            <w:tcW w:type="dxa" w:w="5032"/>
          </w:tcPr>
          <w:p>
            <w:pPr>
              <w:jc w:val="right"/>
              <w:bidi w:val="1"/>
            </w:pPr>
            <w:r>
              <w:rPr>
                <w:rFonts w:ascii="Arial" w:hAnsi="Arial" w:cs="Arial"/>
                <w:b/>
                <w:i w:val="0"/>
                <w:color w:val="1F4E79"/>
                <w:sz w:val="19"/>
              </w:rPr>
              <w:t>إذا وقع تعارض فأطع الله.</w:t>
            </w:r>
          </w:p>
          <w:p>
            <w:pPr>
              <w:spacing w:after="0"/>
              <w:jc w:val="right"/>
              <w:bidi w:val="1"/>
            </w:pPr>
            <w:r>
              <w:rPr>
                <w:rFonts w:ascii="Arial" w:hAnsi="Arial" w:cs="Arial"/>
                <w:b w:val="0"/>
                <w:i w:val="0"/>
                <w:sz w:val="18"/>
              </w:rPr>
              <w:t>«ينبغي أن يطاع الله أكثر من الناس».</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4</w:t>
            </w:r>
          </w:p>
        </w:tc>
        <w:tc>
          <w:tcPr>
            <w:tcW w:type="dxa" w:w="5032"/>
          </w:tcPr>
          <w:p>
            <w:pPr>
              <w:jc w:val="right"/>
              <w:bidi w:val="1"/>
            </w:pPr>
            <w:r>
              <w:rPr>
                <w:rFonts w:ascii="Arial" w:hAnsi="Arial" w:cs="Arial"/>
                <w:b/>
                <w:i w:val="0"/>
                <w:color w:val="1F4E79"/>
                <w:sz w:val="19"/>
              </w:rPr>
              <w:t>ابق منفصلاً لكن اصنع الخير.</w:t>
            </w:r>
          </w:p>
          <w:p>
            <w:pPr>
              <w:spacing w:after="0"/>
              <w:jc w:val="right"/>
              <w:bidi w:val="1"/>
            </w:pPr>
            <w:r>
              <w:rPr>
                <w:rFonts w:ascii="Arial" w:hAnsi="Arial" w:cs="Arial"/>
                <w:b w:val="0"/>
                <w:i w:val="0"/>
                <w:sz w:val="18"/>
              </w:rPr>
              <w:t>يتجنب الكريستادلفيان تقليدياً السياسة الحزبية والتصويت والخدمة العسكرية، مع خدمة الجيران واستخدام الوسائل القانونية بصدق.</w:t>
            </w:r>
          </w:p>
        </w:tc>
      </w:tr>
    </w:tbl>
    <w:p>
      <w:pPr>
        <w:spacing w:before="70" w:after="24"/>
        <w:jc w:val="right"/>
        <w:keepNext/>
        <w:bidi w:val="1"/>
      </w:pPr>
      <w:r>
        <w:rPr>
          <w:rFonts w:ascii="Arial" w:hAnsi="Arial" w:cs="Arial"/>
          <w:b/>
          <w:i w:val="0"/>
          <w:color w:val="1F4E79"/>
          <w:sz w:val="24"/>
        </w:rPr>
        <w:t>فصول للقراءة</w:t>
      </w:r>
    </w:p>
    <w:p>
      <w:pPr>
        <w:spacing w:after="34" w:line="240" w:lineRule="auto"/>
        <w:jc w:val="right"/>
        <w:bidi w:val="1"/>
      </w:pPr>
      <w:r>
        <w:rPr>
          <w:rFonts w:ascii="Arial" w:hAnsi="Arial" w:cs="Arial"/>
          <w:b w:val="0"/>
          <w:i w:val="0"/>
          <w:sz w:val="19"/>
        </w:rPr>
        <w:t>دانيال 3  •  دانيال 6  •  رومية 13  •  متى 22:15-22  •  أعمال 4-5  •  بطرس الأولى 2</w:t>
      </w:r>
    </w:p>
    <w:p>
      <w:pPr>
        <w:spacing w:before="70" w:after="24"/>
        <w:jc w:val="right"/>
        <w:keepNext/>
        <w:bidi w:val="1"/>
      </w:pPr>
      <w:r>
        <w:rPr>
          <w:rFonts w:ascii="Arial" w:hAnsi="Arial" w:cs="Arial"/>
          <w:b/>
          <w:i w:val="0"/>
          <w:color w:val="1F4E79"/>
          <w:sz w:val="24"/>
        </w:rPr>
        <w:t>للحفظ  •  بطرس الأولى 2:9-11</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2"/>
              <w:jc w:val="right"/>
              <w:bidi w:val="1"/>
            </w:pPr>
            <w:r>
              <w:rPr>
                <w:rFonts w:ascii="Arial" w:hAnsi="Arial" w:cs="Arial"/>
                <w:b w:val="0"/>
                <w:i/>
                <w:sz w:val="19"/>
              </w:rPr>
              <w:t>«وأما أنتم فجنس مختار وكهنوت ملوكي وأمة مقدسة وشعب اقتناء، لكي تخبروا بفضائل الذي دعاكم من الظلمة إلى نوره العجيب. الذين قبلاً لم تكونوا شعباً وأما الآن فأنتم شعب الله. الذين كنتم غير مرحومين وأما الآن فمرحومون. أيها الأحباء أطلب إليكم كغرباء ونزلاء أن تمتنعوا عن الشهوات الجسدية التي تحارب النفس.»</w:t>
            </w:r>
          </w:p>
          <w:p>
            <w:pPr>
              <w:spacing w:after="0"/>
              <w:jc w:val="right"/>
              <w:bidi w:val="1"/>
            </w:pPr>
            <w:r>
              <w:rPr>
                <w:rFonts w:ascii="Arial" w:hAnsi="Arial" w:cs="Arial"/>
                <w:b/>
                <w:i w:val="0"/>
                <w:color w:val="333333"/>
                <w:sz w:val="17"/>
              </w:rPr>
              <w:t>بطرس الأولى 2:9-11  •  King James Version</w:t>
            </w:r>
          </w:p>
        </w:tc>
      </w:tr>
    </w:tbl>
    <w:sectPr w:rsidR="00FC693F" w:rsidRPr="0006063C" w:rsidSect="00034616">
      <w:headerReference w:type="default" r:id="rId9"/>
      <w:footerReference w:type="default" r:id="rId10"/>
      <w:pgSz w:w="11909" w:h="16834"/>
      <w:pgMar w:top="720" w:right="922" w:bottom="749" w:left="9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