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36</w:t>
      </w:r>
    </w:p>
    <w:p>
      <w:pPr>
        <w:jc w:val="center"/>
        <w:bidi w:val="1"/>
      </w:pPr>
      <w:r>
        <w:rPr>
          <w:rFonts w:ascii="Arial" w:hAnsi="Arial" w:cs="Arial"/>
          <w:b/>
          <w:i w:val="0"/>
          <w:color w:val="1F4E79"/>
          <w:sz w:val="36"/>
        </w:rPr>
        <w:t>السلوك في جدة الحياة</w:t>
      </w:r>
    </w:p>
    <w:p>
      <w:pPr>
        <w:spacing w:after="80"/>
        <w:jc w:val="center"/>
        <w:bidi w:val="1"/>
      </w:pPr>
      <w:r>
        <w:rPr>
          <w:rFonts w:ascii="Arial" w:hAnsi="Arial" w:cs="Arial"/>
          <w:b/>
          <w:i w:val="0"/>
          <w:color w:val="333333"/>
          <w:sz w:val="20"/>
        </w:rPr>
        <w:t>القراءة  •  رومية 6</w:t>
      </w:r>
    </w:p>
    <w:p>
      <w:pPr>
        <w:spacing w:before="70" w:after="24"/>
        <w:jc w:val="right"/>
        <w:keepNext/>
        <w:bidi w:val="1"/>
      </w:pPr>
      <w:r>
        <w:rPr>
          <w:rFonts w:ascii="Arial" w:hAnsi="Arial" w:cs="Arial"/>
          <w:b/>
          <w:i w:val="0"/>
          <w:color w:val="1F4E79"/>
          <w:sz w:val="24"/>
        </w:rPr>
        <w:t>المعمودية تبدأ طريقاً جديداً للحياة</w:t>
      </w:r>
    </w:p>
    <w:p>
      <w:pPr>
        <w:spacing w:after="34" w:line="240" w:lineRule="auto"/>
        <w:jc w:val="right"/>
        <w:bidi w:val="1"/>
      </w:pPr>
      <w:r>
        <w:rPr>
          <w:rFonts w:ascii="Arial" w:hAnsi="Arial" w:cs="Arial"/>
          <w:b w:val="0"/>
          <w:i w:val="0"/>
          <w:sz w:val="19"/>
        </w:rPr>
        <w:t>المعمودية ليست نهاية التلمذة، بل بداية جديدة. فقد اتحد المؤمن رمزياً بموت الرب يسوع وقيامته، وأصبح الآن مدعواً إلى أن يعيش بصورة مختلفة — أن «يسلك في جدة الحياة».</w:t>
      </w:r>
    </w:p>
    <w:p>
      <w:pPr>
        <w:spacing w:before="70" w:after="24"/>
        <w:jc w:val="right"/>
        <w:keepNext/>
        <w:bidi w:val="1"/>
      </w:pPr>
      <w:r>
        <w:rPr>
          <w:rFonts w:ascii="Arial" w:hAnsi="Arial" w:cs="Arial"/>
          <w:b/>
          <w:i w:val="0"/>
          <w:color w:val="1F4E79"/>
          <w:sz w:val="24"/>
        </w:rPr>
        <w:t>بداية جديدة</w:t>
      </w:r>
    </w:p>
    <w:p>
      <w:pPr>
        <w:spacing w:after="34" w:line="240" w:lineRule="auto"/>
        <w:jc w:val="right"/>
        <w:bidi w:val="1"/>
      </w:pPr>
      <w:r>
        <w:rPr>
          <w:rFonts w:ascii="Arial" w:hAnsi="Arial" w:cs="Arial"/>
          <w:b w:val="0"/>
          <w:i w:val="0"/>
          <w:sz w:val="19"/>
        </w:rPr>
        <w:t>يشرح رومية 6 معنى المعمودية بمقارنتها بالدفن والقيامة. ينبغي ترك اتجاه الحياة السابق، ويبدأ المؤمن المعتمد حياة تتجه نحو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«فدفنا معه بالمعمودية للموت، حتى كما أقيم المسيح من الأموات بمجد الآب هكذا نسلك نحن أيضاً في جدة الحياة.»</w:t>
            </w:r>
          </w:p>
          <w:p>
            <w:pPr>
              <w:spacing w:after="0"/>
              <w:jc w:val="right"/>
              <w:bidi w:val="1"/>
            </w:pPr>
            <w:r>
              <w:rPr>
                <w:rFonts w:ascii="Arial" w:hAnsi="Arial" w:cs="Arial"/>
                <w:b/>
                <w:i w:val="0"/>
                <w:color w:val="333333"/>
                <w:sz w:val="17"/>
              </w:rPr>
              <w:t>رومية 6:4  •  King James Version</w:t>
            </w:r>
          </w:p>
        </w:tc>
      </w:tr>
    </w:tbl>
    <w:p>
      <w:pPr>
        <w:spacing w:after="34" w:line="240" w:lineRule="auto"/>
        <w:jc w:val="right"/>
        <w:bidi w:val="1"/>
      </w:pPr>
      <w:r>
        <w:rPr>
          <w:rFonts w:ascii="Arial" w:hAnsi="Arial" w:cs="Arial"/>
          <w:b w:val="0"/>
          <w:i w:val="0"/>
          <w:sz w:val="19"/>
        </w:rPr>
        <w:t>لا تجعل المعمودية المؤمن كاملاً فوراً. يبقى الضعف البشري، لكن الاتجاه تغير: لا ينبغي قبول الخطية كسيد، والتلميذ يتعلم أن يخدم الله.</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نعمة للطريق</w:t>
            </w:r>
          </w:p>
          <w:p>
            <w:pPr>
              <w:spacing w:after="0"/>
              <w:jc w:val="right"/>
              <w:bidi w:val="1"/>
            </w:pPr>
            <w:r>
              <w:rPr>
                <w:rFonts w:ascii="Arial" w:hAnsi="Arial" w:cs="Arial"/>
                <w:b w:val="0"/>
                <w:i w:val="0"/>
                <w:sz w:val="18"/>
              </w:rPr>
              <w:t>النمو المسيحي ممكن فقط بنعمة الله. حين نفشل لا نختبئ من الله ولا نستسلم. نعترف بخطايانا، ونطلب الغفران بواسطة الرب يسوع المسيح، ونواصل الجهاد للعيش بأمانة.</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«فلنتقدم بثقة إلى عرش النعمة لكي ننال رحمة ونجد نعمة عوناً في حينه.»</w:t>
            </w:r>
          </w:p>
          <w:p>
            <w:pPr>
              <w:spacing w:after="0"/>
              <w:jc w:val="right"/>
              <w:bidi w:val="1"/>
            </w:pPr>
            <w:r>
              <w:rPr>
                <w:rFonts w:ascii="Arial" w:hAnsi="Arial" w:cs="Arial"/>
                <w:b/>
                <w:i w:val="0"/>
                <w:color w:val="333333"/>
                <w:sz w:val="17"/>
              </w:rPr>
              <w:t>العبرانيين 4:16  •  King James Version</w:t>
            </w:r>
          </w:p>
        </w:tc>
      </w:tr>
    </w:tbl>
    <w:p>
      <w:pPr>
        <w:spacing w:before="70" w:after="24"/>
        <w:jc w:val="right"/>
        <w:keepNext/>
        <w:bidi w:val="1"/>
      </w:pPr>
      <w:r>
        <w:rPr>
          <w:rFonts w:ascii="Arial" w:hAnsi="Arial" w:cs="Arial"/>
          <w:b/>
          <w:i w:val="0"/>
          <w:color w:val="1F4E79"/>
          <w:sz w:val="24"/>
        </w:rPr>
        <w:t>التغذي بكلمة الله</w:t>
      </w:r>
    </w:p>
    <w:p>
      <w:pPr>
        <w:spacing w:after="34" w:line="240" w:lineRule="auto"/>
        <w:jc w:val="right"/>
        <w:bidi w:val="1"/>
      </w:pPr>
      <w:r>
        <w:rPr>
          <w:rFonts w:ascii="Arial" w:hAnsi="Arial" w:cs="Arial"/>
          <w:b w:val="0"/>
          <w:i w:val="0"/>
          <w:sz w:val="19"/>
        </w:rPr>
        <w:t>الحياة الجديدة تحتاج إلى غذاء. يقارن بطرس المؤمنين بأطفال حديثي الولادة يحتاجون إلى الغذاء لينموا. وغذاء النمو الروحي هو كلمة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«وكأطفال مولودين الآن اشتهوا اللبن العقلي العديم الغش لكي تنموا به.»</w:t>
            </w:r>
          </w:p>
          <w:p>
            <w:pPr>
              <w:spacing w:after="0"/>
              <w:jc w:val="right"/>
              <w:bidi w:val="1"/>
            </w:pPr>
            <w:r>
              <w:rPr>
                <w:rFonts w:ascii="Arial" w:hAnsi="Arial" w:cs="Arial"/>
                <w:b/>
                <w:i w:val="0"/>
                <w:color w:val="333333"/>
                <w:sz w:val="17"/>
              </w:rPr>
              <w:t>بطرس الأولى 2:2  •  King James Version</w:t>
            </w:r>
          </w:p>
        </w:tc>
      </w:tr>
    </w:tbl>
    <w:p>
      <w:pPr>
        <w:spacing w:after="34" w:line="240" w:lineRule="auto"/>
        <w:jc w:val="right"/>
        <w:bidi w:val="1"/>
      </w:pPr>
      <w:r>
        <w:rPr>
          <w:rFonts w:ascii="Arial" w:hAnsi="Arial" w:cs="Arial"/>
          <w:b w:val="0"/>
          <w:i w:val="0"/>
          <w:sz w:val="19"/>
        </w:rPr>
        <w:t>يعلّم الكتاب ويصحح ويدرّبنا حتى تعكس حياتنا بصورة متزايدة ما يريده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«كل الكتاب هو موحى به من الله ونافع للتعليم والتوبيخ والتقويم والتأديب الذي في البر.»</w:t>
            </w:r>
          </w:p>
          <w:p>
            <w:pPr>
              <w:spacing w:after="0"/>
              <w:jc w:val="right"/>
              <w:bidi w:val="1"/>
            </w:pPr>
            <w:r>
              <w:rPr>
                <w:rFonts w:ascii="Arial" w:hAnsi="Arial" w:cs="Arial"/>
                <w:b/>
                <w:i w:val="0"/>
                <w:color w:val="333333"/>
                <w:sz w:val="17"/>
              </w:rPr>
              <w:t>تيموثاوس الثانية 3:16  •  King James Version</w:t>
            </w:r>
          </w:p>
        </w:tc>
      </w:tr>
    </w:tbl>
    <w:p>
      <w:pPr>
        <w:spacing w:after="34" w:line="240" w:lineRule="auto"/>
        <w:jc w:val="right"/>
        <w:bidi w:val="1"/>
      </w:pPr>
      <w:r>
        <w:rPr>
          <w:rFonts w:ascii="Arial" w:hAnsi="Arial" w:cs="Arial"/>
          <w:b w:val="0"/>
          <w:i w:val="0"/>
          <w:sz w:val="19"/>
        </w:rPr>
        <w:t>تساعد قراءة الكتاب المنتظمة التلميذ أن يرى ما يحتاج إلى تغيير، وما نوع الشخصية التي يريدها الله.</w:t>
      </w:r>
    </w:p>
    <w:p>
      <w:pPr>
        <w:spacing w:before="70" w:after="24"/>
        <w:jc w:val="right"/>
        <w:keepNext/>
        <w:bidi w:val="1"/>
      </w:pPr>
      <w:r>
        <w:rPr>
          <w:rFonts w:ascii="Arial" w:hAnsi="Arial" w:cs="Arial"/>
          <w:b/>
          <w:i w:val="0"/>
          <w:color w:val="1F4E79"/>
          <w:sz w:val="24"/>
        </w:rPr>
        <w:t>التطلع إلى الملكوت</w:t>
      </w:r>
    </w:p>
    <w:p>
      <w:pPr>
        <w:spacing w:after="34" w:line="240" w:lineRule="auto"/>
        <w:jc w:val="right"/>
        <w:bidi w:val="1"/>
      </w:pPr>
      <w:r>
        <w:rPr>
          <w:rFonts w:ascii="Arial" w:hAnsi="Arial" w:cs="Arial"/>
          <w:b w:val="0"/>
          <w:i w:val="0"/>
          <w:sz w:val="19"/>
        </w:rPr>
        <w:t>هدف الحياة الجديدة ليس مجرد أن نصبح أشخاصاً ألطف. الله يعد شعباً لمملكته الآتية. شجع يسوع تلاميذه بهذه الكلمات:</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«لا تخف أيها القطيع الصغير، لأن أباكم قد سُرّ أن يعطيكم الملكوت.»</w:t>
            </w:r>
          </w:p>
          <w:p>
            <w:pPr>
              <w:spacing w:after="0"/>
              <w:jc w:val="right"/>
              <w:bidi w:val="1"/>
            </w:pPr>
            <w:r>
              <w:rPr>
                <w:rFonts w:ascii="Arial" w:hAnsi="Arial" w:cs="Arial"/>
                <w:b/>
                <w:i w:val="0"/>
                <w:color w:val="333333"/>
                <w:sz w:val="17"/>
              </w:rPr>
              <w:t>لوقا 12:32  •  King James Version</w:t>
            </w:r>
          </w:p>
        </w:tc>
      </w:tr>
    </w:tbl>
    <w:p>
      <w:pPr>
        <w:spacing w:before="70" w:after="24"/>
        <w:jc w:val="right"/>
        <w:keepNext/>
        <w:bidi w:val="1"/>
      </w:pPr>
      <w:r>
        <w:rPr>
          <w:rFonts w:ascii="Arial" w:hAnsi="Arial" w:cs="Arial"/>
          <w:b/>
          <w:i w:val="0"/>
          <w:color w:val="1F4E79"/>
          <w:sz w:val="24"/>
        </w:rPr>
        <w:t>المعونة من الرب يسوع</w:t>
      </w:r>
    </w:p>
    <w:p>
      <w:pPr>
        <w:spacing w:after="34" w:line="240" w:lineRule="auto"/>
        <w:jc w:val="right"/>
        <w:bidi w:val="1"/>
      </w:pPr>
      <w:r>
        <w:rPr>
          <w:rFonts w:ascii="Arial" w:hAnsi="Arial" w:cs="Arial"/>
          <w:b w:val="0"/>
          <w:i w:val="0"/>
          <w:sz w:val="19"/>
        </w:rPr>
        <w:t>الرب يسوع هو محور الحياة بعد المعمودية: المخلص، ورئيس الكهنة، والمثال الذي دُعي المؤمنون إلى اتباعه.</w:t>
      </w:r>
    </w:p>
    <w:p>
      <w:pPr>
        <w:spacing w:after="34" w:line="240" w:lineRule="auto"/>
        <w:jc w:val="right"/>
        <w:bidi w:val="1"/>
      </w:pPr>
      <w:r>
        <w:rPr>
          <w:rFonts w:ascii="Arial" w:hAnsi="Arial" w:cs="Arial"/>
          <w:b w:val="0"/>
          <w:i w:val="0"/>
          <w:sz w:val="19"/>
        </w:rPr>
        <w:t>في يوحنا 17 صلى يسوع لأجل الذين أعطاهم الآب له وتطلع إلى مشاركتهم مجده.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«أيها الآب أريد أن هؤلاء الذين أعطيتني يكونون معي حيث أكون أنا لينظروا مجدي الذي أعطيتني.»</w:t>
            </w:r>
          </w:p>
          <w:p>
            <w:pPr>
              <w:spacing w:after="0"/>
              <w:jc w:val="right"/>
              <w:bidi w:val="1"/>
            </w:pPr>
            <w:r>
              <w:rPr>
                <w:rFonts w:ascii="Arial" w:hAnsi="Arial" w:cs="Arial"/>
                <w:b/>
                <w:i w:val="0"/>
                <w:color w:val="333333"/>
                <w:sz w:val="17"/>
              </w:rPr>
              <w:t>يوحنا 17:24  •  King James Version</w:t>
            </w:r>
          </w:p>
        </w:tc>
      </w:tr>
    </w:tbl>
    <w:p>
      <w:pPr>
        <w:spacing w:after="34" w:line="240" w:lineRule="auto"/>
        <w:jc w:val="right"/>
        <w:bidi w:val="1"/>
      </w:pPr>
      <w:r>
        <w:rPr>
          <w:rFonts w:ascii="Arial" w:hAnsi="Arial" w:cs="Arial"/>
          <w:b w:val="0"/>
          <w:i w:val="0"/>
          <w:sz w:val="19"/>
        </w:rPr>
        <w:t>ويُشجع المؤمنون أيضاً أن يرفعوا قلقهم إلى الله: «ملقين كل همكم عليه لأنه هو يعتني بكم» (بطرس الأولى 5:7).</w:t>
      </w:r>
    </w:p>
    <w:p>
      <w:pPr>
        <w:spacing w:before="70" w:after="24"/>
        <w:jc w:val="right"/>
        <w:keepNext/>
        <w:bidi w:val="1"/>
      </w:pPr>
      <w:r>
        <w:rPr>
          <w:rFonts w:ascii="Arial" w:hAnsi="Arial" w:cs="Arial"/>
          <w:b/>
          <w:i w:val="0"/>
          <w:color w:val="1F4E79"/>
          <w:sz w:val="24"/>
        </w:rPr>
        <w:t>الانتماء إلى عائلة عالمية</w:t>
      </w:r>
    </w:p>
    <w:p>
      <w:pPr>
        <w:spacing w:after="34" w:line="240" w:lineRule="auto"/>
        <w:jc w:val="right"/>
        <w:bidi w:val="1"/>
      </w:pPr>
      <w:r>
        <w:rPr>
          <w:rFonts w:ascii="Arial" w:hAnsi="Arial" w:cs="Arial"/>
          <w:b w:val="0"/>
          <w:i w:val="0"/>
          <w:sz w:val="19"/>
        </w:rPr>
        <w:t>توحد المعمودية المؤمن بالمسيح وتخلق أيضاً علاقة جديدة مع سائر المؤمنين. اختلاف الجنسية أو المكانة الاجتماعية أو الجنس لا يجعل تلميذاً أثمن من آخر أمام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«لأن كلكم الذين اعتمدتم بالمسيح قد لبستم المسيح. ليس يهودي ولا يوناني. ليس عبد ولا حر. ليس ذكر وأنثى، لأنكم جميعاً واحد في المسيح يسوع.»</w:t>
            </w:r>
          </w:p>
          <w:p>
            <w:pPr>
              <w:spacing w:after="0"/>
              <w:jc w:val="right"/>
              <w:bidi w:val="1"/>
            </w:pPr>
            <w:r>
              <w:rPr>
                <w:rFonts w:ascii="Arial" w:hAnsi="Arial" w:cs="Arial"/>
                <w:b/>
                <w:i w:val="0"/>
                <w:color w:val="333333"/>
                <w:sz w:val="17"/>
              </w:rPr>
              <w:t>غلاطية 3:27-28  •  King James Version</w:t>
            </w:r>
          </w:p>
        </w:tc>
      </w:tr>
    </w:tbl>
    <w:p>
      <w:pPr>
        <w:spacing w:after="34" w:line="240" w:lineRule="auto"/>
        <w:jc w:val="right"/>
        <w:bidi w:val="1"/>
      </w:pPr>
      <w:r>
        <w:rPr>
          <w:rFonts w:ascii="Arial" w:hAnsi="Arial" w:cs="Arial"/>
          <w:b w:val="0"/>
          <w:i w:val="0"/>
          <w:sz w:val="19"/>
        </w:rPr>
        <w:t>يتحدث الكريستادلفيان عن «إخوة وأخوات في المسيح» لأن التلمذة حياة مشتركة من التشجيع والصبر والغفران والمعونة المتبادلة.</w:t>
      </w:r>
    </w:p>
    <w:p>
      <w:pPr>
        <w:spacing w:before="70" w:after="24"/>
        <w:jc w:val="right"/>
        <w:keepNext/>
        <w:bidi w:val="1"/>
      </w:pPr>
      <w:r>
        <w:rPr>
          <w:rFonts w:ascii="Arial" w:hAnsi="Arial" w:cs="Arial"/>
          <w:b/>
          <w:i w:val="0"/>
          <w:color w:val="1F4E79"/>
          <w:sz w:val="24"/>
        </w:rPr>
        <w:t>وصية أن نحب بعضنا بعضاً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«هذه هي وصيتي أن تحبوا بعضكم بعضاً كما أحببتكم.»</w:t>
            </w:r>
          </w:p>
          <w:p>
            <w:pPr>
              <w:spacing w:after="0"/>
              <w:jc w:val="right"/>
              <w:bidi w:val="1"/>
            </w:pPr>
            <w:r>
              <w:rPr>
                <w:rFonts w:ascii="Arial" w:hAnsi="Arial" w:cs="Arial"/>
                <w:b/>
                <w:i w:val="0"/>
                <w:color w:val="333333"/>
                <w:sz w:val="17"/>
              </w:rPr>
              <w:t>يوحنا 15:12  •  King James Version</w:t>
            </w:r>
          </w:p>
        </w:tc>
      </w:tr>
    </w:tbl>
    <w:p>
      <w:pPr>
        <w:spacing w:after="34" w:line="240" w:lineRule="auto"/>
        <w:jc w:val="right"/>
        <w:bidi w:val="1"/>
      </w:pPr>
      <w:r>
        <w:rPr>
          <w:rFonts w:ascii="Arial" w:hAnsi="Arial" w:cs="Arial"/>
          <w:b w:val="0"/>
          <w:i w:val="0"/>
          <w:sz w:val="19"/>
        </w:rPr>
        <w:t>كانت محبة يسوع عملية وباذلة وصبورة. وبذله لنفسه يعلّم المؤمنين مدى جدية اهتمامهم بعضهم ببعض. لذلك يقول يوحنا: لأن المسيح وضع نفسه لأجلنا «فنحن ينبغي لنا أن نضع نفوسنا لأجل الإخوة» (يوحنا الأولى 3:16).</w:t>
      </w:r>
    </w:p>
    <w:p>
      <w:pPr>
        <w:spacing w:after="34" w:line="240" w:lineRule="auto"/>
        <w:jc w:val="right"/>
        <w:bidi w:val="1"/>
      </w:pPr>
      <w:r>
        <w:rPr>
          <w:rFonts w:ascii="Arial" w:hAnsi="Arial" w:cs="Arial"/>
          <w:b w:val="0"/>
          <w:i w:val="0"/>
          <w:sz w:val="19"/>
        </w:rPr>
        <w:t>هذا صعب. للمؤمنين شخصيات وضعفات وعادات مختلفة، وتظهر المحبة المسيحية أوضح ما يكون حين نحتاج إلى الصبر والغفران.</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6"/>
              </w:rPr>
              <w:t>كورنثوس الأولى 13</w:t>
            </w:r>
          </w:p>
        </w:tc>
        <w:tc>
          <w:tcPr>
            <w:tcW w:type="dxa" w:w="5032"/>
            <w:shd w:fill="D9EAF7"/>
          </w:tcPr>
          <w:p>
            <w:pPr>
              <w:jc w:val="center"/>
              <w:keepNext/>
              <w:bidi w:val="1"/>
            </w:pPr>
            <w:r>
              <w:rPr>
                <w:rFonts w:ascii="Arial" w:hAnsi="Arial" w:cs="Arial"/>
                <w:b/>
                <w:i w:val="0"/>
                <w:color w:val="1F4E79"/>
                <w:sz w:val="16"/>
              </w:rPr>
              <w:t>كيف يظهر عملياً</w:t>
            </w:r>
          </w:p>
        </w:tc>
      </w:tr>
      <w:tr>
        <w:trPr>
          <w:cantSplit/>
        </w:trPr>
        <w:tc>
          <w:tcPr>
            <w:tcW w:type="dxa" w:w="5032"/>
          </w:tcPr>
          <w:p>
            <w:pPr>
              <w:spacing w:after="0"/>
              <w:jc w:val="right"/>
              <w:bidi w:val="1"/>
            </w:pPr>
            <w:r>
              <w:rPr>
                <w:rFonts w:ascii="Arial" w:hAnsi="Arial" w:cs="Arial"/>
                <w:b w:val="0"/>
                <w:i w:val="0"/>
                <w:sz w:val="16"/>
              </w:rPr>
              <w:t>«المحبة تتأنى وترفق»</w:t>
            </w:r>
          </w:p>
        </w:tc>
        <w:tc>
          <w:tcPr>
            <w:tcW w:type="dxa" w:w="5032"/>
          </w:tcPr>
          <w:p>
            <w:pPr>
              <w:spacing w:after="0"/>
              <w:jc w:val="right"/>
              <w:bidi w:val="1"/>
            </w:pPr>
            <w:r>
              <w:rPr>
                <w:rFonts w:ascii="Arial" w:hAnsi="Arial" w:cs="Arial"/>
                <w:b w:val="0"/>
                <w:i w:val="0"/>
                <w:sz w:val="16"/>
              </w:rPr>
              <w:t>اصبر على الضعف واسعَ فعلاً إلى خير الآخر.</w:t>
            </w:r>
          </w:p>
        </w:tc>
      </w:tr>
      <w:tr>
        <w:trPr>
          <w:cantSplit/>
        </w:trPr>
        <w:tc>
          <w:tcPr>
            <w:tcW w:type="dxa" w:w="5032"/>
          </w:tcPr>
          <w:p>
            <w:pPr>
              <w:spacing w:after="0"/>
              <w:jc w:val="right"/>
              <w:bidi w:val="1"/>
            </w:pPr>
            <w:r>
              <w:rPr>
                <w:rFonts w:ascii="Arial" w:hAnsi="Arial" w:cs="Arial"/>
                <w:b w:val="0"/>
                <w:i w:val="0"/>
                <w:sz w:val="16"/>
              </w:rPr>
              <w:t>«لا تطلب ما لنفسها»</w:t>
            </w:r>
          </w:p>
        </w:tc>
        <w:tc>
          <w:tcPr>
            <w:tcW w:type="dxa" w:w="5032"/>
          </w:tcPr>
          <w:p>
            <w:pPr>
              <w:spacing w:after="0"/>
              <w:jc w:val="right"/>
              <w:bidi w:val="1"/>
            </w:pPr>
            <w:r>
              <w:rPr>
                <w:rFonts w:ascii="Arial" w:hAnsi="Arial" w:cs="Arial"/>
                <w:b w:val="0"/>
                <w:i w:val="0"/>
                <w:sz w:val="16"/>
              </w:rPr>
              <w:t>لا تصر أن يتم كل شيء بطريقتنا.</w:t>
            </w:r>
          </w:p>
        </w:tc>
      </w:tr>
      <w:tr>
        <w:trPr>
          <w:cantSplit/>
        </w:trPr>
        <w:tc>
          <w:tcPr>
            <w:tcW w:type="dxa" w:w="5032"/>
          </w:tcPr>
          <w:p>
            <w:pPr>
              <w:spacing w:after="0"/>
              <w:jc w:val="right"/>
              <w:bidi w:val="1"/>
            </w:pPr>
            <w:r>
              <w:rPr>
                <w:rFonts w:ascii="Arial" w:hAnsi="Arial" w:cs="Arial"/>
                <w:b w:val="0"/>
                <w:i w:val="0"/>
                <w:sz w:val="16"/>
              </w:rPr>
              <w:t>«لا تحتد»</w:t>
            </w:r>
          </w:p>
        </w:tc>
        <w:tc>
          <w:tcPr>
            <w:tcW w:type="dxa" w:w="5032"/>
          </w:tcPr>
          <w:p>
            <w:pPr>
              <w:spacing w:after="0"/>
              <w:jc w:val="right"/>
              <w:bidi w:val="1"/>
            </w:pPr>
            <w:r>
              <w:rPr>
                <w:rFonts w:ascii="Arial" w:hAnsi="Arial" w:cs="Arial"/>
                <w:b w:val="0"/>
                <w:i w:val="0"/>
                <w:sz w:val="16"/>
              </w:rPr>
              <w:t>تعلم ضبط التهيج والغضب.</w:t>
            </w:r>
          </w:p>
        </w:tc>
      </w:tr>
      <w:tr>
        <w:trPr>
          <w:cantSplit/>
        </w:trPr>
        <w:tc>
          <w:tcPr>
            <w:tcW w:type="dxa" w:w="5032"/>
          </w:tcPr>
          <w:p>
            <w:pPr>
              <w:spacing w:after="0"/>
              <w:jc w:val="right"/>
              <w:bidi w:val="1"/>
            </w:pPr>
            <w:r>
              <w:rPr>
                <w:rFonts w:ascii="Arial" w:hAnsi="Arial" w:cs="Arial"/>
                <w:b w:val="0"/>
                <w:i w:val="0"/>
                <w:sz w:val="16"/>
              </w:rPr>
              <w:t>«تحتمل كل شيء»</w:t>
            </w:r>
          </w:p>
        </w:tc>
        <w:tc>
          <w:tcPr>
            <w:tcW w:type="dxa" w:w="5032"/>
          </w:tcPr>
          <w:p>
            <w:pPr>
              <w:spacing w:after="0"/>
              <w:jc w:val="right"/>
              <w:bidi w:val="1"/>
            </w:pPr>
            <w:r>
              <w:rPr>
                <w:rFonts w:ascii="Arial" w:hAnsi="Arial" w:cs="Arial"/>
                <w:b w:val="0"/>
                <w:i w:val="0"/>
                <w:sz w:val="16"/>
              </w:rPr>
              <w:t>ابق أميناً ومسانداً حين تكون العلاقات صعبة.</w:t>
            </w:r>
          </w:p>
        </w:tc>
      </w:tr>
    </w:tbl>
    <w:p>
      <w:pPr>
        <w:spacing w:before="70" w:after="24"/>
        <w:jc w:val="right"/>
        <w:keepNext/>
        <w:bidi w:val="1"/>
      </w:pPr>
      <w:r>
        <w:rPr>
          <w:rFonts w:ascii="Arial" w:hAnsi="Arial" w:cs="Arial"/>
          <w:b/>
          <w:i w:val="0"/>
          <w:color w:val="1F4E79"/>
          <w:sz w:val="24"/>
        </w:rPr>
        <w:t>محبة القريب</w:t>
      </w:r>
    </w:p>
    <w:p>
      <w:pPr>
        <w:spacing w:after="34" w:line="240" w:lineRule="auto"/>
        <w:jc w:val="right"/>
        <w:bidi w:val="1"/>
      </w:pPr>
      <w:r>
        <w:rPr>
          <w:rFonts w:ascii="Arial" w:hAnsi="Arial" w:cs="Arial"/>
          <w:b w:val="0"/>
          <w:i w:val="0"/>
          <w:sz w:val="19"/>
        </w:rPr>
        <w:t>واجب المحبة لا يتوقف عند باب الإكليسيا. جمع يسوع بين محبة الله ومحبة القريب.</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«تحب قريبك كنفسك.»</w:t>
            </w:r>
          </w:p>
          <w:p>
            <w:pPr>
              <w:spacing w:after="0"/>
              <w:jc w:val="right"/>
              <w:bidi w:val="1"/>
            </w:pPr>
            <w:r>
              <w:rPr>
                <w:rFonts w:ascii="Arial" w:hAnsi="Arial" w:cs="Arial"/>
                <w:b/>
                <w:i w:val="0"/>
                <w:color w:val="333333"/>
                <w:sz w:val="17"/>
              </w:rPr>
              <w:t>متى 22:39  •  King James Version</w:t>
            </w:r>
          </w:p>
        </w:tc>
      </w:tr>
    </w:tbl>
    <w:p>
      <w:pPr>
        <w:spacing w:after="34" w:line="240" w:lineRule="auto"/>
        <w:jc w:val="right"/>
        <w:bidi w:val="1"/>
      </w:pPr>
      <w:r>
        <w:rPr>
          <w:rFonts w:ascii="Arial" w:hAnsi="Arial" w:cs="Arial"/>
          <w:b w:val="0"/>
          <w:i w:val="0"/>
          <w:sz w:val="19"/>
        </w:rPr>
        <w:t>يبين السامري الصالح في لوقا 10 أن القريب هو من تقع حاجته في متناولنا. ينبغي أن نسأل ما الخدمة المحبة التي نقدر أن نقدمها.</w:t>
      </w:r>
    </w:p>
    <w:p>
      <w:pPr>
        <w:spacing w:before="70" w:after="24"/>
        <w:jc w:val="right"/>
        <w:keepNext/>
        <w:bidi w:val="1"/>
      </w:pPr>
      <w:r>
        <w:rPr>
          <w:rFonts w:ascii="Arial" w:hAnsi="Arial" w:cs="Arial"/>
          <w:b/>
          <w:i w:val="0"/>
          <w:color w:val="1F4E79"/>
          <w:sz w:val="24"/>
        </w:rPr>
        <w:t>الصلاة والعبادة</w:t>
      </w:r>
    </w:p>
    <w:p>
      <w:pPr>
        <w:spacing w:after="34" w:line="240" w:lineRule="auto"/>
        <w:jc w:val="right"/>
        <w:bidi w:val="1"/>
      </w:pPr>
      <w:r>
        <w:rPr>
          <w:rFonts w:ascii="Arial" w:hAnsi="Arial" w:cs="Arial"/>
          <w:b w:val="0"/>
          <w:i w:val="0"/>
          <w:sz w:val="19"/>
        </w:rPr>
        <w:t>ينبغي للحياة الجديدة في المسيح أن تكون حياة صلاة. يقترب المؤمنون إلى الخالق بثقة في رحمته ومع توقير عميق. الله قريب من المتواضع لا من المتعظم.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«لأنه هكذا قال العلي المرتفع ساكن الأبد القدوس اسمه ... وأسكن مع المنسحق والمتواضع الروح لأحيي روح المتواضعين ولأحيي قلب المنسحقين.»</w:t>
            </w:r>
          </w:p>
          <w:p>
            <w:pPr>
              <w:spacing w:after="0"/>
              <w:jc w:val="right"/>
              <w:bidi w:val="1"/>
            </w:pPr>
            <w:r>
              <w:rPr>
                <w:rFonts w:ascii="Arial" w:hAnsi="Arial" w:cs="Arial"/>
                <w:b/>
                <w:i w:val="0"/>
                <w:color w:val="333333"/>
                <w:sz w:val="17"/>
              </w:rPr>
              <w:t>إشعياء 57:15  •  King James Version</w:t>
            </w:r>
          </w:p>
        </w:tc>
      </w:tr>
    </w:tbl>
    <w:p>
      <w:pPr>
        <w:spacing w:after="34" w:line="240" w:lineRule="auto"/>
        <w:jc w:val="right"/>
        <w:bidi w:val="1"/>
      </w:pPr>
      <w:r>
        <w:rPr>
          <w:rFonts w:ascii="Arial" w:hAnsi="Arial" w:cs="Arial"/>
          <w:b w:val="0"/>
          <w:i w:val="0"/>
          <w:sz w:val="19"/>
        </w:rPr>
        <w:t>ويعبّر يعقوب عن المبدأ نفسه ببساطة: الله «يقاوم المستكبرين وأما المتواضعون فيعطيهم نعمة» (يعقوب 4:6). ووصف يسوع نفسه بأنه «وديع ومتواضع القلب» (متى 11:29).</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تصحيح مرجعي</w:t>
            </w:r>
          </w:p>
          <w:p>
            <w:pPr>
              <w:spacing w:after="0"/>
              <w:jc w:val="right"/>
              <w:bidi w:val="1"/>
            </w:pPr>
            <w:r>
              <w:rPr>
                <w:rFonts w:ascii="Arial" w:hAnsi="Arial" w:cs="Arial"/>
                <w:b w:val="0"/>
                <w:i w:val="0"/>
                <w:sz w:val="18"/>
              </w:rPr>
              <w:t>ذكر الدرس القديم العبرانيين 11:28 في عبارة خدمة الله «بخشوع وتقوى». المرجع الصحيح هو العبرانيين 12:28.</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«لذلك ونحن قابلون ملكوتاً لا يتزعزع ليكن عندنا شكر به نخدم الله خدمة مرضية بخشوع وتقوى.»</w:t>
            </w:r>
          </w:p>
          <w:p>
            <w:pPr>
              <w:spacing w:after="0"/>
              <w:jc w:val="right"/>
              <w:bidi w:val="1"/>
            </w:pPr>
            <w:r>
              <w:rPr>
                <w:rFonts w:ascii="Arial" w:hAnsi="Arial" w:cs="Arial"/>
                <w:b/>
                <w:i w:val="0"/>
                <w:color w:val="333333"/>
                <w:sz w:val="17"/>
              </w:rPr>
              <w:t>العبرانيين 12:28  •  King James Version</w:t>
            </w:r>
          </w:p>
        </w:tc>
      </w:tr>
    </w:tbl>
    <w:p>
      <w:pPr>
        <w:spacing w:before="70" w:after="24"/>
        <w:jc w:val="right"/>
        <w:keepNext/>
        <w:bidi w:val="1"/>
      </w:pPr>
      <w:r>
        <w:rPr>
          <w:rFonts w:ascii="Arial" w:hAnsi="Arial" w:cs="Arial"/>
          <w:b/>
          <w:i w:val="0"/>
          <w:color w:val="1F4E79"/>
          <w:sz w:val="24"/>
        </w:rPr>
        <w:t>التواضع قوة تحت توجيه الله</w:t>
      </w:r>
    </w:p>
    <w:p>
      <w:pPr>
        <w:spacing w:after="34" w:line="240" w:lineRule="auto"/>
        <w:jc w:val="right"/>
        <w:bidi w:val="1"/>
      </w:pPr>
      <w:r>
        <w:rPr>
          <w:rFonts w:ascii="Arial" w:hAnsi="Arial" w:cs="Arial"/>
          <w:b w:val="0"/>
          <w:i w:val="0"/>
          <w:sz w:val="19"/>
        </w:rPr>
        <w:t>يعلّم يسوع نمطاً مختلفاً عن السعي إلى تعظيم النفس. التواضع لا يعني الضعف، بل ترك الأهمية الذاتية واختيار الخدمة.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«لا شيئاً بتحزب أو بعجب، بل بتواضع حاسبين بعضكم البعض أفضل من أنفسهم.»</w:t>
            </w:r>
          </w:p>
          <w:p>
            <w:pPr>
              <w:spacing w:after="0"/>
              <w:jc w:val="right"/>
              <w:bidi w:val="1"/>
            </w:pPr>
            <w:r>
              <w:rPr>
                <w:rFonts w:ascii="Arial" w:hAnsi="Arial" w:cs="Arial"/>
                <w:b/>
                <w:i w:val="0"/>
                <w:color w:val="333333"/>
                <w:sz w:val="17"/>
              </w:rPr>
              <w:t>فيلبي 2:3  •  King James Version</w:t>
            </w:r>
          </w:p>
        </w:tc>
      </w:tr>
    </w:tbl>
    <w:p>
      <w:pPr>
        <w:spacing w:after="34" w:line="240" w:lineRule="auto"/>
        <w:jc w:val="right"/>
        <w:bidi w:val="1"/>
      </w:pPr>
      <w:r>
        <w:rPr>
          <w:rFonts w:ascii="Arial" w:hAnsi="Arial" w:cs="Arial"/>
          <w:b w:val="0"/>
          <w:i w:val="0"/>
          <w:sz w:val="19"/>
        </w:rPr>
        <w:t>ويلخص بولس النتيجة العملية بكلمات قليلة: «بالمحبة اخدموا بعضكم بعضاً» (غلاطية 5:13).</w:t>
      </w:r>
    </w:p>
    <w:p>
      <w:pPr>
        <w:spacing w:before="70" w:after="24"/>
        <w:jc w:val="right"/>
        <w:keepNext/>
        <w:bidi w:val="1"/>
      </w:pPr>
      <w:r>
        <w:rPr>
          <w:rFonts w:ascii="Arial" w:hAnsi="Arial" w:cs="Arial"/>
          <w:b/>
          <w:i w:val="0"/>
          <w:color w:val="1F4E79"/>
          <w:sz w:val="24"/>
        </w:rPr>
        <w:t>يسوع أعطى نموذج الخدمة</w:t>
      </w:r>
    </w:p>
    <w:p>
      <w:pPr>
        <w:spacing w:after="34" w:line="240" w:lineRule="auto"/>
        <w:jc w:val="right"/>
        <w:bidi w:val="1"/>
      </w:pPr>
      <w:r>
        <w:rPr>
          <w:rFonts w:ascii="Arial" w:hAnsi="Arial" w:cs="Arial"/>
          <w:b w:val="0"/>
          <w:i w:val="0"/>
          <w:sz w:val="19"/>
        </w:rPr>
        <w:t>في الوجبة الأخيرة مع تلاميذه تعمد يسوع أن يقوم بعمل خادم، فغسل أرجلهم ثم أوضح أنه أعطاهم مثالاً.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«لأني أعطيتكم مثالاً حتى كما صنعت أنا بكم تصنعون أنتم أيضاً.»</w:t>
            </w:r>
          </w:p>
          <w:p>
            <w:pPr>
              <w:spacing w:after="0"/>
              <w:jc w:val="right"/>
              <w:bidi w:val="1"/>
            </w:pPr>
            <w:r>
              <w:rPr>
                <w:rFonts w:ascii="Arial" w:hAnsi="Arial" w:cs="Arial"/>
                <w:b/>
                <w:i w:val="0"/>
                <w:color w:val="333333"/>
                <w:sz w:val="17"/>
              </w:rPr>
              <w:t>يوحنا 13:15  •  King James Version</w:t>
            </w:r>
          </w:p>
        </w:tc>
      </w:tr>
    </w:tbl>
    <w:p>
      <w:pPr>
        <w:spacing w:after="34" w:line="240" w:lineRule="auto"/>
        <w:jc w:val="right"/>
        <w:bidi w:val="1"/>
      </w:pPr>
      <w:r>
        <w:rPr>
          <w:rFonts w:ascii="Arial" w:hAnsi="Arial" w:cs="Arial"/>
          <w:b w:val="0"/>
          <w:i w:val="0"/>
          <w:sz w:val="19"/>
        </w:rPr>
        <w:t>لا توجد خدمة محبة أدنى من تلميذ يسوع. ينبغي للقيادة والنضج الروحي أن يجعلاننا أكثر استعداداً للخدمة، لا أكثر مطالبة بالامتياز.</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الخدمة تحتاج أيضاً حكمة</w:t>
            </w:r>
          </w:p>
          <w:p>
            <w:pPr>
              <w:spacing w:after="0"/>
              <w:jc w:val="right"/>
              <w:bidi w:val="1"/>
            </w:pPr>
            <w:r>
              <w:rPr>
                <w:rFonts w:ascii="Arial" w:hAnsi="Arial" w:cs="Arial"/>
                <w:b w:val="0"/>
                <w:i w:val="0"/>
                <w:sz w:val="18"/>
              </w:rPr>
              <w:t>التواضع والغفران والصبر لا تعني احتمال الإساءة أو تبرير الخطأ الخطير أو التنازل عن تعليم الله. المحبة المسيحية تطلب خير الشخص الحقيقي مع البقاء أمينين لله.</w:t>
            </w:r>
          </w:p>
        </w:tc>
      </w:tr>
    </w:tbl>
    <w:p>
      <w:pPr>
        <w:spacing w:before="70" w:after="24"/>
        <w:jc w:val="right"/>
        <w:keepNext/>
        <w:bidi w:val="1"/>
      </w:pPr>
      <w:r>
        <w:rPr>
          <w:rFonts w:ascii="Arial" w:hAnsi="Arial" w:cs="Arial"/>
          <w:b/>
          <w:i w:val="0"/>
          <w:color w:val="1F4E79"/>
          <w:sz w:val="24"/>
        </w:rPr>
        <w:t>تذكر الرب يسوع</w:t>
      </w:r>
    </w:p>
    <w:p>
      <w:pPr>
        <w:spacing w:after="34" w:line="240" w:lineRule="auto"/>
        <w:jc w:val="right"/>
        <w:bidi w:val="1"/>
      </w:pPr>
      <w:r>
        <w:rPr>
          <w:rFonts w:ascii="Arial" w:hAnsi="Arial" w:cs="Arial"/>
          <w:b w:val="0"/>
          <w:i w:val="0"/>
          <w:sz w:val="19"/>
        </w:rPr>
        <w:t>عرف يسوع أن تلاميذه سيحتاجون إلى تذكير منتظم بذبيحته. في العشاء قبل موته أخذ خبزاً وكأساً وطلب منهم أن يذكروه. ثم كرر بولس هذه التعليمات لإكليسيا كورنثوس.</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«اصنعوا هذا لذكري.»</w:t>
            </w:r>
          </w:p>
          <w:p>
            <w:pPr>
              <w:spacing w:after="0"/>
              <w:jc w:val="right"/>
              <w:bidi w:val="1"/>
            </w:pPr>
            <w:r>
              <w:rPr>
                <w:rFonts w:ascii="Arial" w:hAnsi="Arial" w:cs="Arial"/>
                <w:b/>
                <w:i w:val="0"/>
                <w:color w:val="333333"/>
                <w:sz w:val="17"/>
              </w:rPr>
              <w:t>كورنثوس الأولى 11:24  •  King James Version</w:t>
            </w:r>
          </w:p>
        </w:tc>
      </w:tr>
    </w:tbl>
    <w:p>
      <w:pPr>
        <w:spacing w:after="34" w:line="240" w:lineRule="auto"/>
        <w:jc w:val="right"/>
        <w:bidi w:val="1"/>
      </w:pPr>
      <w:r>
        <w:rPr>
          <w:rFonts w:ascii="Arial" w:hAnsi="Arial" w:cs="Arial"/>
          <w:b w:val="0"/>
          <w:i w:val="0"/>
          <w:sz w:val="19"/>
        </w:rPr>
        <w:t>يدعو الخبز والكأس التلاميذ إلى التذكر والشكر وفحص النفس.</w:t>
      </w:r>
    </w:p>
    <w:p>
      <w:pPr>
        <w:spacing w:after="34" w:line="240" w:lineRule="auto"/>
        <w:jc w:val="right"/>
        <w:bidi w:val="1"/>
      </w:pPr>
      <w:r>
        <w:rPr>
          <w:rFonts w:ascii="Arial" w:hAnsi="Arial" w:cs="Arial"/>
          <w:b w:val="0"/>
          <w:i w:val="0"/>
          <w:sz w:val="19"/>
        </w:rPr>
        <w:t>يسجل أعمال 20:7 اجتماع التلاميذ لكسر الخبز في أول الأسبوع. وهو مثال واضح من القرن الأول، مع أن العدد نفسه لا يفرض اليوم أو التكرار بالتحديد. تجتمع الإكليسيات الكريستادلفية تقليدياً كل أسبوع، وغالباً يوم الأحد، لتذكر الرب.</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«وفي أول الأسبوع إذ كان التلاميذ مجتمعين ليكسروا خبزاً أطال بولس الكلام معهم...»</w:t>
            </w:r>
          </w:p>
          <w:p>
            <w:pPr>
              <w:spacing w:after="0"/>
              <w:jc w:val="right"/>
              <w:bidi w:val="1"/>
            </w:pPr>
            <w:r>
              <w:rPr>
                <w:rFonts w:ascii="Arial" w:hAnsi="Arial" w:cs="Arial"/>
                <w:b/>
                <w:i w:val="0"/>
                <w:color w:val="333333"/>
                <w:sz w:val="17"/>
              </w:rPr>
              <w:t>أعمال 20:7  •  King James Version</w:t>
            </w:r>
          </w:p>
        </w:tc>
      </w:tr>
    </w:tbl>
    <w:p>
      <w:pPr>
        <w:spacing w:before="70" w:after="24"/>
        <w:jc w:val="right"/>
        <w:keepNext/>
        <w:bidi w:val="1"/>
      </w:pPr>
      <w:r>
        <w:rPr>
          <w:rFonts w:ascii="Arial" w:hAnsi="Arial" w:cs="Arial"/>
          <w:b/>
          <w:i w:val="0"/>
          <w:color w:val="1F4E79"/>
          <w:sz w:val="24"/>
        </w:rPr>
        <w:t>حياة يشكلها التذكر</w:t>
      </w:r>
    </w:p>
    <w:p>
      <w:pPr>
        <w:spacing w:after="34" w:line="240" w:lineRule="auto"/>
        <w:jc w:val="right"/>
        <w:bidi w:val="1"/>
      </w:pPr>
      <w:r>
        <w:rPr>
          <w:rFonts w:ascii="Arial" w:hAnsi="Arial" w:cs="Arial"/>
          <w:b w:val="0"/>
          <w:i w:val="0"/>
          <w:sz w:val="19"/>
        </w:rPr>
        <w:t>ينبغي لتذكر يسوع أن يؤثر في بقية الأسبوع: يجدد الشكر، ويكشف الاتجاهات الخاطئة، ويقوي العزم على اتباع المسيح.</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«اصنعوا هذا لذكري»</w:t>
            </w:r>
          </w:p>
          <w:p>
            <w:pPr>
              <w:spacing w:after="0"/>
              <w:jc w:val="right"/>
              <w:bidi w:val="1"/>
            </w:pPr>
            <w:r>
              <w:rPr>
                <w:rFonts w:ascii="Arial" w:hAnsi="Arial" w:cs="Arial"/>
                <w:b w:val="0"/>
                <w:i w:val="0"/>
                <w:sz w:val="18"/>
              </w:rPr>
              <w:t>اجتماع التذكار ينظر إلى الخلف إلى ذبيحة يسوع، وإلى الداخل ونحن نفحص أنفسنا، وإلى الخارج في شركة الإخوة والأخوات، وإلى الأمام إلى عودة الرب ومملكة الله.</w:t>
            </w:r>
          </w:p>
        </w:tc>
      </w:tr>
    </w:tbl>
    <w:p>
      <w:pPr>
        <w:spacing w:before="70" w:after="24"/>
        <w:jc w:val="right"/>
        <w:keepNext/>
        <w:bidi w:val="1"/>
      </w:pPr>
      <w:r>
        <w:rPr>
          <w:rFonts w:ascii="Arial" w:hAnsi="Arial" w:cs="Arial"/>
          <w:b/>
          <w:i w:val="0"/>
          <w:color w:val="1F4E79"/>
          <w:sz w:val="24"/>
        </w:rPr>
        <w:t>كيف يبدو السلوك في جدة الحياة</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jc w:val="center"/>
              <w:keepNext/>
              <w:bidi w:val="1"/>
            </w:pPr>
            <w:r>
              <w:rPr>
                <w:rFonts w:ascii="Arial" w:hAnsi="Arial" w:cs="Arial"/>
                <w:b/>
                <w:i w:val="0"/>
                <w:color w:val="1F4E79"/>
                <w:sz w:val="15"/>
              </w:rPr>
              <w:t>العادة</w:t>
            </w:r>
          </w:p>
        </w:tc>
        <w:tc>
          <w:tcPr>
            <w:tcW w:type="dxa" w:w="3355"/>
            <w:shd w:fill="D9EAF7"/>
          </w:tcPr>
          <w:p>
            <w:pPr>
              <w:jc w:val="center"/>
              <w:keepNext/>
              <w:bidi w:val="1"/>
            </w:pPr>
            <w:r>
              <w:rPr>
                <w:rFonts w:ascii="Arial" w:hAnsi="Arial" w:cs="Arial"/>
                <w:b/>
                <w:i w:val="0"/>
                <w:color w:val="1F4E79"/>
                <w:sz w:val="15"/>
              </w:rPr>
              <w:t>الكتاب</w:t>
            </w:r>
          </w:p>
        </w:tc>
        <w:tc>
          <w:tcPr>
            <w:tcW w:type="dxa" w:w="3355"/>
            <w:shd w:fill="D9EAF7"/>
          </w:tcPr>
          <w:p>
            <w:pPr>
              <w:jc w:val="center"/>
              <w:keepNext/>
              <w:bidi w:val="1"/>
            </w:pPr>
            <w:r>
              <w:rPr>
                <w:rFonts w:ascii="Arial" w:hAnsi="Arial" w:cs="Arial"/>
                <w:b/>
                <w:i w:val="0"/>
                <w:color w:val="1F4E79"/>
                <w:sz w:val="15"/>
              </w:rPr>
              <w:t>المعنى العملي</w:t>
            </w:r>
          </w:p>
        </w:tc>
      </w:tr>
      <w:tr>
        <w:trPr>
          <w:cantSplit/>
        </w:trPr>
        <w:tc>
          <w:tcPr>
            <w:tcW w:type="dxa" w:w="3355"/>
          </w:tcPr>
          <w:p>
            <w:pPr>
              <w:spacing w:after="0"/>
              <w:jc w:val="right"/>
              <w:bidi w:val="1"/>
            </w:pPr>
            <w:r>
              <w:rPr>
                <w:rFonts w:ascii="Arial" w:hAnsi="Arial" w:cs="Arial"/>
                <w:b w:val="0"/>
                <w:i w:val="0"/>
                <w:sz w:val="15"/>
              </w:rPr>
              <w:t>اقرأ وصلِّ</w:t>
            </w:r>
          </w:p>
        </w:tc>
        <w:tc>
          <w:tcPr>
            <w:tcW w:type="dxa" w:w="3355"/>
          </w:tcPr>
          <w:p>
            <w:pPr>
              <w:spacing w:after="0"/>
              <w:jc w:val="right"/>
              <w:bidi w:val="1"/>
            </w:pPr>
            <w:r>
              <w:rPr>
                <w:rFonts w:ascii="Arial" w:hAnsi="Arial" w:cs="Arial"/>
                <w:b w:val="0"/>
                <w:i w:val="0"/>
                <w:sz w:val="15"/>
              </w:rPr>
              <w:t>مزمور 119:130؛ فيلبي 4:6</w:t>
            </w:r>
          </w:p>
        </w:tc>
        <w:tc>
          <w:tcPr>
            <w:tcW w:type="dxa" w:w="3355"/>
          </w:tcPr>
          <w:p>
            <w:pPr>
              <w:spacing w:after="0"/>
              <w:jc w:val="right"/>
              <w:bidi w:val="1"/>
            </w:pPr>
            <w:r>
              <w:rPr>
                <w:rFonts w:ascii="Arial" w:hAnsi="Arial" w:cs="Arial"/>
                <w:b w:val="0"/>
                <w:i w:val="0"/>
                <w:sz w:val="15"/>
              </w:rPr>
              <w:t>دع الكتاب يشكل الفكر وارفع الاحتياجات والشكر إلى الله.</w:t>
            </w:r>
          </w:p>
        </w:tc>
      </w:tr>
      <w:tr>
        <w:trPr>
          <w:cantSplit/>
        </w:trPr>
        <w:tc>
          <w:tcPr>
            <w:tcW w:type="dxa" w:w="3355"/>
          </w:tcPr>
          <w:p>
            <w:pPr>
              <w:spacing w:after="0"/>
              <w:jc w:val="right"/>
              <w:bidi w:val="1"/>
            </w:pPr>
            <w:r>
              <w:rPr>
                <w:rFonts w:ascii="Arial" w:hAnsi="Arial" w:cs="Arial"/>
                <w:b w:val="0"/>
                <w:i w:val="0"/>
                <w:sz w:val="15"/>
              </w:rPr>
              <w:t>أحب الإخوة والجيران</w:t>
            </w:r>
          </w:p>
        </w:tc>
        <w:tc>
          <w:tcPr>
            <w:tcW w:type="dxa" w:w="3355"/>
          </w:tcPr>
          <w:p>
            <w:pPr>
              <w:spacing w:after="0"/>
              <w:jc w:val="right"/>
              <w:bidi w:val="1"/>
            </w:pPr>
            <w:r>
              <w:rPr>
                <w:rFonts w:ascii="Arial" w:hAnsi="Arial" w:cs="Arial"/>
                <w:b w:val="0"/>
                <w:i w:val="0"/>
                <w:sz w:val="15"/>
              </w:rPr>
              <w:t>يوحنا الأولى 4:7؛ متى 7:12</w:t>
            </w:r>
          </w:p>
        </w:tc>
        <w:tc>
          <w:tcPr>
            <w:tcW w:type="dxa" w:w="3355"/>
          </w:tcPr>
          <w:p>
            <w:pPr>
              <w:spacing w:after="0"/>
              <w:jc w:val="right"/>
              <w:bidi w:val="1"/>
            </w:pPr>
            <w:r>
              <w:rPr>
                <w:rFonts w:ascii="Arial" w:hAnsi="Arial" w:cs="Arial"/>
                <w:b w:val="0"/>
                <w:i w:val="0"/>
                <w:sz w:val="15"/>
              </w:rPr>
              <w:t>أظهر الصبر والعدل والغفران والسخاء والعناية العملية.</w:t>
            </w:r>
          </w:p>
        </w:tc>
      </w:tr>
      <w:tr>
        <w:trPr>
          <w:cantSplit/>
        </w:trPr>
        <w:tc>
          <w:tcPr>
            <w:tcW w:type="dxa" w:w="3355"/>
          </w:tcPr>
          <w:p>
            <w:pPr>
              <w:spacing w:after="0"/>
              <w:jc w:val="right"/>
              <w:bidi w:val="1"/>
            </w:pPr>
            <w:r>
              <w:rPr>
                <w:rFonts w:ascii="Arial" w:hAnsi="Arial" w:cs="Arial"/>
                <w:b w:val="0"/>
                <w:i w:val="0"/>
                <w:sz w:val="15"/>
              </w:rPr>
              <w:t>ابتعد عما ينجس</w:t>
            </w:r>
          </w:p>
        </w:tc>
        <w:tc>
          <w:tcPr>
            <w:tcW w:type="dxa" w:w="3355"/>
          </w:tcPr>
          <w:p>
            <w:pPr>
              <w:spacing w:after="0"/>
              <w:jc w:val="right"/>
              <w:bidi w:val="1"/>
            </w:pPr>
            <w:r>
              <w:rPr>
                <w:rFonts w:ascii="Arial" w:hAnsi="Arial" w:cs="Arial"/>
                <w:b w:val="0"/>
                <w:i w:val="0"/>
                <w:sz w:val="15"/>
              </w:rPr>
              <w:t>كورنثوس الثانية 6:17</w:t>
            </w:r>
          </w:p>
        </w:tc>
        <w:tc>
          <w:tcPr>
            <w:tcW w:type="dxa" w:w="3355"/>
          </w:tcPr>
          <w:p>
            <w:pPr>
              <w:spacing w:after="0"/>
              <w:jc w:val="right"/>
              <w:bidi w:val="1"/>
            </w:pPr>
            <w:r>
              <w:rPr>
                <w:rFonts w:ascii="Arial" w:hAnsi="Arial" w:cs="Arial"/>
                <w:b w:val="0"/>
                <w:i w:val="0"/>
                <w:sz w:val="15"/>
              </w:rPr>
              <w:t>لا تدع قيم وممارسات المحيط تجذبك بعيداً عن الله.</w:t>
            </w:r>
          </w:p>
        </w:tc>
      </w:tr>
      <w:tr>
        <w:trPr>
          <w:cantSplit/>
        </w:trPr>
        <w:tc>
          <w:tcPr>
            <w:tcW w:type="dxa" w:w="3355"/>
          </w:tcPr>
          <w:p>
            <w:pPr>
              <w:spacing w:after="0"/>
              <w:jc w:val="right"/>
              <w:bidi w:val="1"/>
            </w:pPr>
            <w:r>
              <w:rPr>
                <w:rFonts w:ascii="Arial" w:hAnsi="Arial" w:cs="Arial"/>
                <w:b w:val="0"/>
                <w:i w:val="0"/>
                <w:sz w:val="15"/>
              </w:rPr>
              <w:t>أحب الله بكل القلب</w:t>
            </w:r>
          </w:p>
        </w:tc>
        <w:tc>
          <w:tcPr>
            <w:tcW w:type="dxa" w:w="3355"/>
          </w:tcPr>
          <w:p>
            <w:pPr>
              <w:spacing w:after="0"/>
              <w:jc w:val="right"/>
              <w:bidi w:val="1"/>
            </w:pPr>
            <w:r>
              <w:rPr>
                <w:rFonts w:ascii="Arial" w:hAnsi="Arial" w:cs="Arial"/>
                <w:b w:val="0"/>
                <w:i w:val="0"/>
                <w:sz w:val="15"/>
              </w:rPr>
              <w:t>التثنية 6:5</w:t>
            </w:r>
          </w:p>
        </w:tc>
        <w:tc>
          <w:tcPr>
            <w:tcW w:type="dxa" w:w="3355"/>
          </w:tcPr>
          <w:p>
            <w:pPr>
              <w:spacing w:after="0"/>
              <w:jc w:val="right"/>
              <w:bidi w:val="1"/>
            </w:pPr>
            <w:r>
              <w:rPr>
                <w:rFonts w:ascii="Arial" w:hAnsi="Arial" w:cs="Arial"/>
                <w:b w:val="0"/>
                <w:i w:val="0"/>
                <w:sz w:val="15"/>
              </w:rPr>
              <w:t>اجعل الولاء لله المبدأ المنظم للحياة كلها.</w:t>
            </w:r>
          </w:p>
        </w:tc>
      </w:tr>
    </w:tbl>
    <w:p>
      <w:pPr>
        <w:spacing w:after="34" w:line="240" w:lineRule="auto"/>
        <w:jc w:val="right"/>
        <w:bidi w:val="1"/>
      </w:pPr>
      <w:r>
        <w:rPr>
          <w:rFonts w:ascii="Arial" w:hAnsi="Arial" w:cs="Arial"/>
          <w:b w:val="0"/>
          <w:i w:val="0"/>
          <w:sz w:val="19"/>
        </w:rPr>
        <w:t>الانفصال عما هو نجس انفصال أخلاقي وروحي، لا عزلة اجتماعية. خدم يسوع الناس العاديين مع رفضه السلوك الذي يهين الله (كورنثوس الثانية 6:17-18).</w:t>
      </w:r>
    </w:p>
    <w:p>
      <w:pPr>
        <w:spacing w:before="70" w:after="24"/>
        <w:jc w:val="right"/>
        <w:keepNext/>
        <w:bidi w:val="1"/>
      </w:pPr>
      <w:r>
        <w:rPr>
          <w:rFonts w:ascii="Arial" w:hAnsi="Arial" w:cs="Arial"/>
          <w:b/>
          <w:i w:val="0"/>
          <w:color w:val="1F4E79"/>
          <w:sz w:val="24"/>
        </w:rPr>
        <w:t>النمو عملية مدى الحياة</w:t>
      </w:r>
    </w:p>
    <w:p>
      <w:pPr>
        <w:spacing w:after="34" w:line="240" w:lineRule="auto"/>
        <w:jc w:val="right"/>
        <w:bidi w:val="1"/>
      </w:pPr>
      <w:r>
        <w:rPr>
          <w:rFonts w:ascii="Arial" w:hAnsi="Arial" w:cs="Arial"/>
          <w:b w:val="0"/>
          <w:i w:val="0"/>
          <w:sz w:val="19"/>
        </w:rPr>
        <w:t>السلوك في جدة الحياة رحلة عمر من التعلم والتوبة والصلاة والتجدد. تتغير بعض العادات سريعاً، وتحتاج أخرى إلى جهاد طويل. والمهم أن نواصل الرجوع نحو الله.</w:t>
      </w:r>
    </w:p>
    <w:p>
      <w:pPr>
        <w:spacing w:after="34" w:line="240" w:lineRule="auto"/>
        <w:jc w:val="right"/>
        <w:bidi w:val="1"/>
      </w:pPr>
      <w:r>
        <w:rPr>
          <w:rFonts w:ascii="Arial" w:hAnsi="Arial" w:cs="Arial"/>
          <w:b w:val="0"/>
          <w:i w:val="0"/>
          <w:sz w:val="19"/>
        </w:rPr>
        <w:t>يتكلم رومية 6 عن «الإنسان العتيق» وولاء جديد: التجربة باقية، لكن الخطية لا ينبغي قبولها كسيد.</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لا تخلط النمو بالكمال</w:t>
            </w:r>
          </w:p>
          <w:p>
            <w:pPr>
              <w:spacing w:after="0"/>
              <w:jc w:val="right"/>
              <w:bidi w:val="1"/>
            </w:pPr>
            <w:r>
              <w:rPr>
                <w:rFonts w:ascii="Arial" w:hAnsi="Arial" w:cs="Arial"/>
                <w:b w:val="0"/>
                <w:i w:val="0"/>
                <w:sz w:val="18"/>
              </w:rPr>
              <w:t>التلميذ الأمين ليس شخصاً لا يفشل أبداً. هو شخص يواصل الرجوع إلى الله، والاعتراف بالخطية، وقبول التصحيح، وطلب الغفران، والاستمرار في اتباع الرب يسوع.</w:t>
            </w:r>
          </w:p>
        </w:tc>
      </w:tr>
    </w:tbl>
    <w:p>
      <w:pPr>
        <w:spacing w:before="70" w:after="24"/>
        <w:jc w:val="right"/>
        <w:keepNext/>
        <w:bidi w:val="1"/>
      </w:pPr>
      <w:r>
        <w:rPr>
          <w:rFonts w:ascii="Arial" w:hAnsi="Arial" w:cs="Arial"/>
          <w:b/>
          <w:i w:val="0"/>
          <w:color w:val="1F4E79"/>
          <w:sz w:val="24"/>
        </w:rPr>
        <w:t>خليقة جديدة في المسيح</w:t>
      </w:r>
    </w:p>
    <w:p>
      <w:pPr>
        <w:spacing w:after="34" w:line="240" w:lineRule="auto"/>
        <w:jc w:val="right"/>
        <w:bidi w:val="1"/>
      </w:pPr>
      <w:r>
        <w:rPr>
          <w:rFonts w:ascii="Arial" w:hAnsi="Arial" w:cs="Arial"/>
          <w:b w:val="0"/>
          <w:i w:val="0"/>
          <w:sz w:val="19"/>
        </w:rPr>
        <w:t>يصف العهد الجديد التغيير بلغة قوية. الحياة في المسيح مختلفة في اتجاهها وغرضها إلى درجة أن بولس يسمي المؤمن «خليقة جديدة».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«إذاً إن كان أحد في المسيح فهو خليقة جديدة. الأشياء العتيقة قد مضت. هوذا الكل قد صار جديداً.»</w:t>
            </w:r>
          </w:p>
          <w:p>
            <w:pPr>
              <w:spacing w:after="0"/>
              <w:jc w:val="right"/>
              <w:bidi w:val="1"/>
            </w:pPr>
            <w:r>
              <w:rPr>
                <w:rFonts w:ascii="Arial" w:hAnsi="Arial" w:cs="Arial"/>
                <w:b/>
                <w:i w:val="0"/>
                <w:color w:val="333333"/>
                <w:sz w:val="17"/>
              </w:rPr>
              <w:t>كورنثوس الثانية 5:17  •  King James Version</w:t>
            </w:r>
          </w:p>
        </w:tc>
      </w:tr>
    </w:tbl>
    <w:p>
      <w:pPr>
        <w:spacing w:after="34" w:line="240" w:lineRule="auto"/>
        <w:jc w:val="right"/>
        <w:bidi w:val="1"/>
      </w:pPr>
      <w:r>
        <w:rPr>
          <w:rFonts w:ascii="Arial" w:hAnsi="Arial" w:cs="Arial"/>
          <w:b w:val="0"/>
          <w:i w:val="0"/>
          <w:sz w:val="19"/>
        </w:rPr>
        <w:t>تمس هذه الجدة كل الحياة: الكلام والعلاقات والوقت والمال والتجربة والعبادة والرجاء. تصبح مملكة الله هي الوجهة التي تتحرك نحوها الحياة.</w:t>
      </w:r>
    </w:p>
    <w:p>
      <w:pPr>
        <w:spacing w:before="70" w:after="24"/>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1</w:t>
            </w:r>
          </w:p>
        </w:tc>
        <w:tc>
          <w:tcPr>
            <w:tcW w:type="dxa" w:w="5032"/>
          </w:tcPr>
          <w:p>
            <w:pPr>
              <w:jc w:val="right"/>
              <w:bidi w:val="1"/>
            </w:pPr>
            <w:r>
              <w:rPr>
                <w:rFonts w:ascii="Arial" w:hAnsi="Arial" w:cs="Arial"/>
                <w:b/>
                <w:i w:val="0"/>
                <w:color w:val="1F4E79"/>
                <w:sz w:val="19"/>
              </w:rPr>
              <w:t>المعمودية بداية.</w:t>
            </w:r>
          </w:p>
          <w:p>
            <w:pPr>
              <w:spacing w:after="0"/>
              <w:jc w:val="right"/>
              <w:bidi w:val="1"/>
            </w:pPr>
            <w:r>
              <w:rPr>
                <w:rFonts w:ascii="Arial" w:hAnsi="Arial" w:cs="Arial"/>
                <w:b w:val="0"/>
                <w:i w:val="0"/>
                <w:sz w:val="18"/>
              </w:rPr>
              <w:t>يترك المؤمن الاتجاه القديم ويتعلم أن يسلك في جدة الحياة.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2</w:t>
            </w:r>
          </w:p>
        </w:tc>
        <w:tc>
          <w:tcPr>
            <w:tcW w:type="dxa" w:w="5032"/>
          </w:tcPr>
          <w:p>
            <w:pPr>
              <w:jc w:val="right"/>
              <w:bidi w:val="1"/>
            </w:pPr>
            <w:r>
              <w:rPr>
                <w:rFonts w:ascii="Arial" w:hAnsi="Arial" w:cs="Arial"/>
                <w:b/>
                <w:i w:val="0"/>
                <w:color w:val="1F4E79"/>
                <w:sz w:val="19"/>
              </w:rPr>
              <w:t>النمو يحتاج كلمة الله والصلاة.</w:t>
            </w:r>
          </w:p>
          <w:p>
            <w:pPr>
              <w:spacing w:after="0"/>
              <w:jc w:val="right"/>
              <w:bidi w:val="1"/>
            </w:pPr>
            <w:r>
              <w:rPr>
                <w:rFonts w:ascii="Arial" w:hAnsi="Arial" w:cs="Arial"/>
                <w:b w:val="0"/>
                <w:i w:val="0"/>
                <w:sz w:val="18"/>
              </w:rPr>
              <w:t>يصححنا الكتاب وتبقينا الصلاة معتمدين على نعمة الله.</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3</w:t>
            </w:r>
          </w:p>
        </w:tc>
        <w:tc>
          <w:tcPr>
            <w:tcW w:type="dxa" w:w="5032"/>
          </w:tcPr>
          <w:p>
            <w:pPr>
              <w:jc w:val="right"/>
              <w:bidi w:val="1"/>
            </w:pPr>
            <w:r>
              <w:rPr>
                <w:rFonts w:ascii="Arial" w:hAnsi="Arial" w:cs="Arial"/>
                <w:b/>
                <w:i w:val="0"/>
                <w:color w:val="1F4E79"/>
                <w:sz w:val="19"/>
              </w:rPr>
              <w:t>المحبة والخدمة تميزان الحياة الجديدة.</w:t>
            </w:r>
          </w:p>
          <w:p>
            <w:pPr>
              <w:spacing w:after="0"/>
              <w:jc w:val="right"/>
              <w:bidi w:val="1"/>
            </w:pPr>
            <w:r>
              <w:rPr>
                <w:rFonts w:ascii="Arial" w:hAnsi="Arial" w:cs="Arial"/>
                <w:b w:val="0"/>
                <w:i w:val="0"/>
                <w:sz w:val="18"/>
              </w:rPr>
              <w:t>يهتم التلاميذ بالإخوة والأخوات والجيران متبعين مثال يسوع.</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4</w:t>
            </w:r>
          </w:p>
        </w:tc>
        <w:tc>
          <w:tcPr>
            <w:tcW w:type="dxa" w:w="5032"/>
          </w:tcPr>
          <w:p>
            <w:pPr>
              <w:jc w:val="right"/>
              <w:bidi w:val="1"/>
            </w:pPr>
            <w:r>
              <w:rPr>
                <w:rFonts w:ascii="Arial" w:hAnsi="Arial" w:cs="Arial"/>
                <w:b/>
                <w:i w:val="0"/>
                <w:color w:val="1F4E79"/>
                <w:sz w:val="19"/>
              </w:rPr>
              <w:t>المسيح يبقى في المركز.</w:t>
            </w:r>
          </w:p>
          <w:p>
            <w:pPr>
              <w:spacing w:after="0"/>
              <w:jc w:val="right"/>
              <w:bidi w:val="1"/>
            </w:pPr>
            <w:r>
              <w:rPr>
                <w:rFonts w:ascii="Arial" w:hAnsi="Arial" w:cs="Arial"/>
                <w:b w:val="0"/>
                <w:i w:val="0"/>
                <w:sz w:val="18"/>
              </w:rPr>
              <w:t>كسر الخبز والتوبة المستمرة ورجاء عودته تشكل مسيرة الإيمان مدى الحياة.</w:t>
            </w:r>
          </w:p>
        </w:tc>
      </w:tr>
    </w:tbl>
    <w:p>
      <w:pPr>
        <w:spacing w:before="70" w:after="24"/>
        <w:jc w:val="right"/>
        <w:keepNext/>
        <w:bidi w:val="1"/>
      </w:pPr>
      <w:r>
        <w:rPr>
          <w:rFonts w:ascii="Arial" w:hAnsi="Arial" w:cs="Arial"/>
          <w:b/>
          <w:i w:val="0"/>
          <w:color w:val="1F4E79"/>
          <w:sz w:val="24"/>
        </w:rPr>
        <w:t>فصول للقراءة</w:t>
      </w:r>
    </w:p>
    <w:p>
      <w:pPr>
        <w:spacing w:after="34" w:line="240" w:lineRule="auto"/>
        <w:jc w:val="right"/>
        <w:bidi w:val="1"/>
      </w:pPr>
      <w:r>
        <w:rPr>
          <w:rFonts w:ascii="Arial" w:hAnsi="Arial" w:cs="Arial"/>
          <w:b w:val="0"/>
          <w:i w:val="0"/>
          <w:sz w:val="19"/>
        </w:rPr>
        <w:t>كورنثوس الأولى 13  •  لوقا 10:30-37  •  لوقا 22:14-20  •  كورنثوس الأولى 11:23-28  •  رومية 6</w:t>
      </w:r>
    </w:p>
    <w:p>
      <w:pPr>
        <w:spacing w:before="70" w:after="24"/>
        <w:jc w:val="right"/>
        <w:keepNext/>
        <w:bidi w:val="1"/>
      </w:pPr>
      <w:r>
        <w:rPr>
          <w:rFonts w:ascii="Arial" w:hAnsi="Arial" w:cs="Arial"/>
          <w:b/>
          <w:i w:val="0"/>
          <w:color w:val="1F4E79"/>
          <w:sz w:val="24"/>
        </w:rPr>
        <w:t>للحفظ  •  كورنثوس الثانية 5:17</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«إذاً إن كان أحد في المسيح فهو خليقة جديدة. الأشياء العتيقة قد مضت. هوذا الكل قد صار جديداً.»</w:t>
            </w:r>
          </w:p>
          <w:p>
            <w:pPr>
              <w:spacing w:after="0"/>
              <w:jc w:val="right"/>
              <w:bidi w:val="1"/>
            </w:pPr>
            <w:r>
              <w:rPr>
                <w:rFonts w:ascii="Arial" w:hAnsi="Arial" w:cs="Arial"/>
                <w:b/>
                <w:i w:val="0"/>
                <w:color w:val="333333"/>
                <w:sz w:val="17"/>
              </w:rPr>
              <w:t>كورنثوس الثانية 5:17  •  King James Version</w:t>
            </w:r>
          </w:p>
        </w:tc>
      </w:tr>
    </w:tbl>
    <w:sectPr w:rsidR="00FC693F" w:rsidRPr="0006063C" w:rsidSect="00034616">
      <w:headerReference w:type="default" r:id="rId9"/>
      <w:footerReference w:type="default" r:id="rId10"/>
      <w:pgSz w:w="11909" w:h="16834"/>
      <w:pgMar w:top="720" w:right="922" w:bottom="749"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