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26" w:lineRule="auto"/>
        <w:jc w:val="center"/>
        <w:bidi w:val="1"/>
      </w:pPr>
      <w:r>
        <w:rPr>
          <w:rFonts w:ascii="Arial" w:hAnsi="Arial" w:cs="Arial"/>
          <w:b/>
          <w:i w:val="0"/>
          <w:color w:val="1F4E79"/>
          <w:sz w:val="19"/>
        </w:rPr>
        <w:t>الدرس 39</w:t>
      </w:r>
    </w:p>
    <w:p>
      <w:pPr>
        <w:spacing w:line="226" w:lineRule="auto"/>
        <w:jc w:val="center"/>
        <w:bidi w:val="1"/>
      </w:pPr>
      <w:r>
        <w:rPr>
          <w:rFonts w:ascii="Arial" w:hAnsi="Arial" w:cs="Arial"/>
          <w:b/>
          <w:i w:val="0"/>
          <w:color w:val="1F4E79"/>
          <w:sz w:val="34"/>
        </w:rPr>
        <w:t>قوة اللسان</w:t>
      </w:r>
    </w:p>
    <w:p>
      <w:pPr>
        <w:spacing w:after="12" w:line="226" w:lineRule="auto"/>
        <w:jc w:val="center"/>
        <w:bidi w:val="1"/>
      </w:pPr>
      <w:r>
        <w:rPr>
          <w:rFonts w:ascii="Arial" w:hAnsi="Arial" w:cs="Arial"/>
          <w:b/>
          <w:i w:val="0"/>
          <w:color w:val="333333"/>
          <w:sz w:val="19"/>
        </w:rPr>
        <w:t>القراءة  •  يعقوب 1</w:t>
      </w:r>
    </w:p>
    <w:p>
      <w:pPr>
        <w:spacing w:before="40" w:after="12" w:line="226" w:lineRule="auto"/>
        <w:jc w:val="right"/>
        <w:keepNext/>
        <w:bidi w:val="1"/>
      </w:pPr>
      <w:r>
        <w:rPr>
          <w:rFonts w:ascii="Arial" w:hAnsi="Arial" w:cs="Arial"/>
          <w:b/>
          <w:i w:val="0"/>
          <w:color w:val="1F4E79"/>
          <w:sz w:val="23"/>
        </w:rPr>
        <w:t>كلماتنا تكشف قلوبنا</w:t>
      </w:r>
    </w:p>
    <w:p>
      <w:pPr>
        <w:spacing w:after="12" w:line="226" w:lineRule="auto"/>
        <w:jc w:val="right"/>
        <w:bidi w:val="1"/>
      </w:pPr>
      <w:r>
        <w:rPr>
          <w:rFonts w:ascii="Arial" w:hAnsi="Arial" w:cs="Arial"/>
          <w:b w:val="0"/>
          <w:i w:val="0"/>
          <w:sz w:val="18"/>
        </w:rPr>
        <w:t>الكلام من أوضح الطرق التي تظهر بها شخصيتنا. تستطيع الكلمات أن تسبح الله، وتعلّم الحق، وتعزي المتضايق، وتصنع السلام — أو أن تجرح وتخدع وتؤجج الغضب وتهدم الثقة.</w:t>
      </w:r>
    </w:p>
    <w:p>
      <w:pPr>
        <w:spacing w:before="40" w:after="12" w:line="226" w:lineRule="auto"/>
        <w:jc w:val="right"/>
        <w:keepNext/>
        <w:bidi w:val="1"/>
      </w:pPr>
      <w:r>
        <w:rPr>
          <w:rFonts w:ascii="Arial" w:hAnsi="Arial" w:cs="Arial"/>
          <w:b/>
          <w:i w:val="0"/>
          <w:color w:val="1F4E79"/>
          <w:sz w:val="23"/>
        </w:rPr>
        <w:t>الكلمات والدينونة</w:t>
      </w:r>
    </w:p>
    <w:p>
      <w:pPr>
        <w:spacing w:after="12" w:line="226" w:lineRule="auto"/>
        <w:jc w:val="right"/>
        <w:bidi w:val="1"/>
      </w:pPr>
      <w:r>
        <w:rPr>
          <w:rFonts w:ascii="Arial" w:hAnsi="Arial" w:cs="Arial"/>
          <w:b w:val="0"/>
          <w:i w:val="0"/>
          <w:sz w:val="18"/>
        </w:rPr>
        <w:t>حين يعود الرب يسوع سيعطي المسؤولون عن دينونته حساباً عن الطريقة التي عاشوا بها. ويبين الكتاب أن كلماتنا جزء من هذا الحساب. حذر يسوع سامعيه أن الكلام ليس أمراً روحياً بلا أهمية: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«ولكن أقول لكم إن كل كلمة بطالة يتكلم بها الناس سوف يعطون عنها حساباً يوم الدين. لأنك بكلامك تتبرر وبكلامك تُدان.»</w:t>
            </w:r>
          </w:p>
          <w:p>
            <w:pPr>
              <w:spacing w:after="0" w:before="0" w:line="221" w:lineRule="auto"/>
              <w:jc w:val="right"/>
              <w:bidi w:val="1"/>
            </w:pPr>
            <w:r>
              <w:rPr>
                <w:rFonts w:ascii="Arial" w:hAnsi="Arial" w:cs="Arial"/>
                <w:b/>
                <w:i w:val="0"/>
                <w:color w:val="333333"/>
                <w:sz w:val="17"/>
              </w:rPr>
              <w:t>متى 12:36-37  •  King James Version</w:t>
            </w:r>
          </w:p>
        </w:tc>
      </w:tr>
    </w:tbl>
    <w:p>
      <w:pPr>
        <w:spacing w:after="12" w:line="226" w:lineRule="auto"/>
        <w:jc w:val="right"/>
        <w:bidi w:val="1"/>
      </w:pPr>
      <w:r>
        <w:rPr>
          <w:rFonts w:ascii="Arial" w:hAnsi="Arial" w:cs="Arial"/>
          <w:b w:val="0"/>
          <w:i w:val="0"/>
          <w:sz w:val="18"/>
        </w:rPr>
        <w:t>تستخدم KJV عبارة «كلمة بطالة». الفكرة هي كلام بلا فائدة أو عناية أو غرض صالح. لذلك لا يدعونا يسوع فقط إلى تجنب الكلمات القاسية، بل إلى جعل كلامنا نافعاً في خدمة الله.</w:t>
      </w:r>
    </w:p>
    <w:p>
      <w:pPr>
        <w:spacing w:before="40" w:after="12" w:line="226" w:lineRule="auto"/>
        <w:jc w:val="right"/>
        <w:keepNext/>
        <w:bidi w:val="1"/>
      </w:pPr>
      <w:r>
        <w:rPr>
          <w:rFonts w:ascii="Arial" w:hAnsi="Arial" w:cs="Arial"/>
          <w:b/>
          <w:i w:val="0"/>
          <w:color w:val="1F4E79"/>
          <w:sz w:val="23"/>
        </w:rPr>
        <w:t>استخدم اللسان للخير</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keepNext/>
              <w:bidi w:val="1"/>
            </w:pPr>
            <w:r>
              <w:rPr>
                <w:rFonts w:ascii="Arial" w:hAnsi="Arial" w:cs="Arial"/>
                <w:b/>
                <w:i w:val="0"/>
                <w:color w:val="1F4E79"/>
                <w:sz w:val="15"/>
              </w:rPr>
              <w:t>استخدم كلماتنا لكي</w:t>
            </w:r>
          </w:p>
        </w:tc>
        <w:tc>
          <w:tcPr>
            <w:tcW w:type="dxa" w:w="5032"/>
            <w:shd w:fill="D9EAF7"/>
          </w:tcPr>
          <w:p>
            <w:pPr>
              <w:spacing w:after="0" w:before="0" w:line="221" w:lineRule="auto"/>
              <w:jc w:val="center"/>
              <w:keepNext/>
              <w:bidi w:val="1"/>
            </w:pPr>
            <w:r>
              <w:rPr>
                <w:rFonts w:ascii="Arial" w:hAnsi="Arial" w:cs="Arial"/>
                <w:b/>
                <w:i w:val="0"/>
                <w:color w:val="1F4E79"/>
                <w:sz w:val="15"/>
              </w:rPr>
              <w:t>توجيه كتابي</w:t>
            </w:r>
          </w:p>
        </w:tc>
      </w:tr>
      <w:tr>
        <w:trPr>
          <w:cantSplit/>
        </w:trPr>
        <w:tc>
          <w:tcPr>
            <w:tcW w:type="dxa" w:w="5032"/>
          </w:tcPr>
          <w:p>
            <w:pPr>
              <w:spacing w:after="0" w:before="0" w:line="221" w:lineRule="auto"/>
              <w:jc w:val="right"/>
              <w:bidi w:val="1"/>
            </w:pPr>
            <w:r>
              <w:rPr>
                <w:rFonts w:ascii="Arial" w:hAnsi="Arial" w:cs="Arial"/>
                <w:b w:val="0"/>
                <w:i w:val="0"/>
                <w:sz w:val="15"/>
              </w:rPr>
              <w:t>نسبح الله ونشكره</w:t>
            </w:r>
          </w:p>
        </w:tc>
        <w:tc>
          <w:tcPr>
            <w:tcW w:type="dxa" w:w="5032"/>
          </w:tcPr>
          <w:p>
            <w:pPr>
              <w:spacing w:after="0" w:before="0" w:line="221" w:lineRule="auto"/>
              <w:jc w:val="right"/>
              <w:bidi w:val="1"/>
            </w:pPr>
            <w:r>
              <w:rPr>
                <w:rFonts w:ascii="Arial" w:hAnsi="Arial" w:cs="Arial"/>
                <w:b w:val="0"/>
                <w:i w:val="0"/>
                <w:sz w:val="15"/>
              </w:rPr>
              <w:t>رنم وصلِّ وتكلم بالشكر مع الآخرين.  •  كولوسي 3:15-17</w:t>
            </w:r>
          </w:p>
        </w:tc>
      </w:tr>
      <w:tr>
        <w:trPr>
          <w:cantSplit/>
        </w:trPr>
        <w:tc>
          <w:tcPr>
            <w:tcW w:type="dxa" w:w="5032"/>
          </w:tcPr>
          <w:p>
            <w:pPr>
              <w:spacing w:after="0" w:before="0" w:line="221" w:lineRule="auto"/>
              <w:jc w:val="right"/>
              <w:bidi w:val="1"/>
            </w:pPr>
            <w:r>
              <w:rPr>
                <w:rFonts w:ascii="Arial" w:hAnsi="Arial" w:cs="Arial"/>
                <w:b w:val="0"/>
                <w:i w:val="0"/>
                <w:sz w:val="15"/>
              </w:rPr>
              <w:t>نصنع السلام</w:t>
            </w:r>
          </w:p>
        </w:tc>
        <w:tc>
          <w:tcPr>
            <w:tcW w:type="dxa" w:w="5032"/>
          </w:tcPr>
          <w:p>
            <w:pPr>
              <w:spacing w:after="0" w:before="0" w:line="221" w:lineRule="auto"/>
              <w:jc w:val="right"/>
              <w:bidi w:val="1"/>
            </w:pPr>
            <w:r>
              <w:rPr>
                <w:rFonts w:ascii="Arial" w:hAnsi="Arial" w:cs="Arial"/>
                <w:b w:val="0"/>
                <w:i w:val="0"/>
                <w:sz w:val="15"/>
              </w:rPr>
              <w:t>الجواب اللين يصرف الغضب.  •  أمثال 15:1؛ متى 5:9</w:t>
            </w:r>
          </w:p>
        </w:tc>
      </w:tr>
      <w:tr>
        <w:trPr>
          <w:cantSplit/>
        </w:trPr>
        <w:tc>
          <w:tcPr>
            <w:tcW w:type="dxa" w:w="5032"/>
          </w:tcPr>
          <w:p>
            <w:pPr>
              <w:spacing w:after="0" w:before="0" w:line="221" w:lineRule="auto"/>
              <w:jc w:val="right"/>
              <w:bidi w:val="1"/>
            </w:pPr>
            <w:r>
              <w:rPr>
                <w:rFonts w:ascii="Arial" w:hAnsi="Arial" w:cs="Arial"/>
                <w:b w:val="0"/>
                <w:i w:val="0"/>
                <w:sz w:val="15"/>
              </w:rPr>
              <w:t>نشجع ونعزي</w:t>
            </w:r>
          </w:p>
        </w:tc>
        <w:tc>
          <w:tcPr>
            <w:tcW w:type="dxa" w:w="5032"/>
          </w:tcPr>
          <w:p>
            <w:pPr>
              <w:spacing w:after="0" w:before="0" w:line="221" w:lineRule="auto"/>
              <w:jc w:val="right"/>
              <w:bidi w:val="1"/>
            </w:pPr>
            <w:r>
              <w:rPr>
                <w:rFonts w:ascii="Arial" w:hAnsi="Arial" w:cs="Arial"/>
                <w:b w:val="0"/>
                <w:i w:val="0"/>
                <w:sz w:val="15"/>
              </w:rPr>
              <w:t>قوِّ المضطربين والحزانى واليائسين.  •  كورنثوس الثانية 1:3-4</w:t>
            </w:r>
          </w:p>
        </w:tc>
      </w:tr>
      <w:tr>
        <w:trPr>
          <w:cantSplit/>
        </w:trPr>
        <w:tc>
          <w:tcPr>
            <w:tcW w:type="dxa" w:w="5032"/>
          </w:tcPr>
          <w:p>
            <w:pPr>
              <w:spacing w:after="0" w:before="0" w:line="221" w:lineRule="auto"/>
              <w:jc w:val="right"/>
              <w:bidi w:val="1"/>
            </w:pPr>
            <w:r>
              <w:rPr>
                <w:rFonts w:ascii="Arial" w:hAnsi="Arial" w:cs="Arial"/>
                <w:b w:val="0"/>
                <w:i w:val="0"/>
                <w:sz w:val="15"/>
              </w:rPr>
              <w:t>نعلّم ونغذي</w:t>
            </w:r>
          </w:p>
        </w:tc>
        <w:tc>
          <w:tcPr>
            <w:tcW w:type="dxa" w:w="5032"/>
          </w:tcPr>
          <w:p>
            <w:pPr>
              <w:spacing w:after="0" w:before="0" w:line="221" w:lineRule="auto"/>
              <w:jc w:val="right"/>
              <w:bidi w:val="1"/>
            </w:pPr>
            <w:r>
              <w:rPr>
                <w:rFonts w:ascii="Arial" w:hAnsi="Arial" w:cs="Arial"/>
                <w:b w:val="0"/>
                <w:i w:val="0"/>
                <w:sz w:val="15"/>
              </w:rPr>
              <w:t>شارك كلمة الله مع الجياع روحياً.  •  أمثال 10:21</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«ليكن كلامكم كل حين بنعمة مصلحاً بملح، لتعلموا كيف يجب أن تجاوبوا كل واحد.»</w:t>
            </w:r>
          </w:p>
          <w:p>
            <w:pPr>
              <w:spacing w:after="0" w:before="0" w:line="221" w:lineRule="auto"/>
              <w:jc w:val="right"/>
              <w:bidi w:val="1"/>
            </w:pPr>
            <w:r>
              <w:rPr>
                <w:rFonts w:ascii="Arial" w:hAnsi="Arial" w:cs="Arial"/>
                <w:b/>
                <w:i w:val="0"/>
                <w:color w:val="333333"/>
                <w:sz w:val="17"/>
              </w:rPr>
              <w:t>كولوسي 4:6  •  King James Version</w:t>
            </w:r>
          </w:p>
        </w:tc>
      </w:tr>
    </w:tbl>
    <w:p>
      <w:pPr>
        <w:spacing w:before="40" w:after="12" w:line="226" w:lineRule="auto"/>
        <w:jc w:val="right"/>
        <w:keepNext/>
        <w:bidi w:val="1"/>
      </w:pPr>
      <w:r>
        <w:rPr>
          <w:rFonts w:ascii="Arial" w:hAnsi="Arial" w:cs="Arial"/>
          <w:b/>
          <w:i w:val="0"/>
          <w:color w:val="1F4E79"/>
          <w:sz w:val="23"/>
        </w:rPr>
        <w:t>تعلم بطرس أن يستخدم كلماته بصورة مختلفة</w:t>
      </w:r>
    </w:p>
    <w:p>
      <w:pPr>
        <w:spacing w:after="12" w:line="226" w:lineRule="auto"/>
        <w:jc w:val="right"/>
        <w:bidi w:val="1"/>
      </w:pPr>
      <w:r>
        <w:rPr>
          <w:rFonts w:ascii="Arial" w:hAnsi="Arial" w:cs="Arial"/>
          <w:b w:val="0"/>
          <w:i w:val="0"/>
          <w:sz w:val="18"/>
        </w:rPr>
        <w:t>في الليلة التي قُبض فيها على يسوع أنكر بطرس أنه يعرفه، وبدأ حتى يلعن ويحلف. وبعد سنوات حث بطرس المؤمنين أن يتكلموا عن رجائهم بوداعة وخوف وضمير صالح. حياته نفسها تبين أن التلاميذ يستطيعون أن يتغيروا.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«بل قدسوا الرب الإله في قلوبكم، مستعدين دائماً لمجاوبة كل من يسألكم عن سبب الرجاء الذي فيكم بوداعة وخوف.»</w:t>
            </w:r>
          </w:p>
          <w:p>
            <w:pPr>
              <w:spacing w:after="0" w:before="0" w:line="221" w:lineRule="auto"/>
              <w:jc w:val="right"/>
              <w:bidi w:val="1"/>
            </w:pPr>
            <w:r>
              <w:rPr>
                <w:rFonts w:ascii="Arial" w:hAnsi="Arial" w:cs="Arial"/>
                <w:b/>
                <w:i w:val="0"/>
                <w:color w:val="333333"/>
                <w:sz w:val="17"/>
              </w:rPr>
              <w:t>بطرس الأولى 3:15  •  King James Version</w:t>
            </w:r>
          </w:p>
        </w:tc>
      </w:tr>
    </w:tbl>
    <w:p>
      <w:pPr>
        <w:spacing w:before="40" w:after="12" w:line="226" w:lineRule="auto"/>
        <w:jc w:val="right"/>
        <w:keepNext/>
        <w:bidi w:val="1"/>
      </w:pPr>
      <w:r>
        <w:rPr>
          <w:rFonts w:ascii="Arial" w:hAnsi="Arial" w:cs="Arial"/>
          <w:b/>
          <w:i w:val="0"/>
          <w:color w:val="1F4E79"/>
          <w:sz w:val="23"/>
        </w:rPr>
        <w:t>اللسان والحياة كلها</w:t>
      </w:r>
    </w:p>
    <w:p>
      <w:pPr>
        <w:spacing w:after="12" w:line="226" w:lineRule="auto"/>
        <w:jc w:val="right"/>
        <w:bidi w:val="1"/>
      </w:pPr>
      <w:r>
        <w:rPr>
          <w:rFonts w:ascii="Arial" w:hAnsi="Arial" w:cs="Arial"/>
          <w:b w:val="0"/>
          <w:i w:val="0"/>
          <w:sz w:val="18"/>
        </w:rPr>
        <w:t>حث بولس المؤمنين أن يقدموا أنفسهم لله ذبيحة حية. ويشمل ذلك الطريقة التي نتكلم بها. التلميذ المعتمد لله، ويسعى أن يخدمه لا في العبادة العامة فقط، بل أيضاً في الأحاديث العادية والخلافات والكلمات الخاصة.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«فأطلب إليكم أيها الإخوة برأفة الله أن تقدموا أجسادكم ذبيحة حية مقدسة مرضية عند الله عبادتكم العقلية.»</w:t>
            </w:r>
          </w:p>
          <w:p>
            <w:pPr>
              <w:spacing w:after="0" w:before="0" w:line="221" w:lineRule="auto"/>
              <w:jc w:val="right"/>
              <w:bidi w:val="1"/>
            </w:pPr>
            <w:r>
              <w:rPr>
                <w:rFonts w:ascii="Arial" w:hAnsi="Arial" w:cs="Arial"/>
                <w:b/>
                <w:i w:val="0"/>
                <w:color w:val="333333"/>
                <w:sz w:val="17"/>
              </w:rPr>
              <w:t>رومية 12:1  •  King James Version</w:t>
            </w:r>
          </w:p>
        </w:tc>
      </w:tr>
    </w:tbl>
    <w:p>
      <w:pPr>
        <w:spacing w:after="12" w:line="226" w:lineRule="auto"/>
        <w:jc w:val="right"/>
        <w:bidi w:val="1"/>
      </w:pPr>
      <w:r>
        <w:rPr>
          <w:rFonts w:ascii="Arial" w:hAnsi="Arial" w:cs="Arial"/>
          <w:b w:val="0"/>
          <w:i w:val="0"/>
          <w:sz w:val="18"/>
        </w:rPr>
        <w:t>علّم يسوع أن كلماتنا تكشف ما في داخلنا. قد نخفي دوافعنا أحياناً عن الناس، لكن أنماط الكلام المتكررة تكشف في النهاية ما يملأ القلب.</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«الإنسان الصالح من كنز قلبه الصالح يخرج الصلاح، والإنسان الشرير من كنز قلبه الشرير يخرج الشر، فإنه من فضلة القلب يتكلم فمه.»</w:t>
            </w:r>
          </w:p>
          <w:p>
            <w:pPr>
              <w:spacing w:after="0" w:before="0" w:line="221" w:lineRule="auto"/>
              <w:jc w:val="right"/>
              <w:bidi w:val="1"/>
            </w:pPr>
            <w:r>
              <w:rPr>
                <w:rFonts w:ascii="Arial" w:hAnsi="Arial" w:cs="Arial"/>
                <w:b/>
                <w:i w:val="0"/>
                <w:color w:val="333333"/>
                <w:sz w:val="17"/>
              </w:rPr>
              <w:t>لوقا 6:45  •  King James Version</w:t>
            </w:r>
          </w:p>
        </w:tc>
      </w:tr>
    </w:tbl>
    <w:p>
      <w:pPr>
        <w:spacing w:before="40" w:after="12" w:line="226" w:lineRule="auto"/>
        <w:jc w:val="right"/>
        <w:keepNext/>
        <w:bidi w:val="1"/>
      </w:pPr>
      <w:r>
        <w:rPr>
          <w:rFonts w:ascii="Arial" w:hAnsi="Arial" w:cs="Arial"/>
          <w:b/>
          <w:i w:val="0"/>
          <w:color w:val="1F4E79"/>
          <w:sz w:val="23"/>
        </w:rPr>
        <w:t>يعقوب: عضو صغير بقوة كبيرة</w:t>
      </w:r>
    </w:p>
    <w:p>
      <w:pPr>
        <w:spacing w:after="12" w:line="226" w:lineRule="auto"/>
        <w:jc w:val="right"/>
        <w:bidi w:val="1"/>
      </w:pPr>
      <w:r>
        <w:rPr>
          <w:rFonts w:ascii="Arial" w:hAnsi="Arial" w:cs="Arial"/>
          <w:b w:val="0"/>
          <w:i w:val="0"/>
          <w:sz w:val="18"/>
        </w:rPr>
        <w:t>يعقوب 3 من أقوى مقاطع الكتاب عن الكلام. يقارن اللسان بلجام يحول الفرس، ودفة توجه السفينة، ونار صغيرة تستطيع إشعال شيء أكبر كثيراً. وتحذيراته عملية: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keepNext/>
              <w:bidi w:val="1"/>
            </w:pPr>
            <w:r>
              <w:rPr>
                <w:rFonts w:ascii="Arial" w:hAnsi="Arial" w:cs="Arial"/>
                <w:b/>
                <w:i w:val="0"/>
                <w:color w:val="1F4E79"/>
                <w:sz w:val="15"/>
              </w:rPr>
              <w:t>يعلم يعقوب 3</w:t>
            </w:r>
          </w:p>
        </w:tc>
        <w:tc>
          <w:tcPr>
            <w:tcW w:type="dxa" w:w="5032"/>
            <w:shd w:fill="D9EAF7"/>
          </w:tcPr>
          <w:p>
            <w:pPr>
              <w:spacing w:after="0" w:before="0" w:line="221" w:lineRule="auto"/>
              <w:jc w:val="center"/>
              <w:keepNext/>
              <w:bidi w:val="1"/>
            </w:pPr>
            <w:r>
              <w:rPr>
                <w:rFonts w:ascii="Arial" w:hAnsi="Arial" w:cs="Arial"/>
                <w:b/>
                <w:i w:val="0"/>
                <w:color w:val="1F4E79"/>
                <w:sz w:val="15"/>
              </w:rPr>
              <w:t>ماذا يعني لنا</w:t>
            </w:r>
          </w:p>
        </w:tc>
      </w:tr>
      <w:tr>
        <w:trPr>
          <w:cantSplit/>
        </w:trPr>
        <w:tc>
          <w:tcPr>
            <w:tcW w:type="dxa" w:w="5032"/>
          </w:tcPr>
          <w:p>
            <w:pPr>
              <w:spacing w:after="0" w:before="0" w:line="221" w:lineRule="auto"/>
              <w:jc w:val="right"/>
              <w:bidi w:val="1"/>
            </w:pPr>
            <w:r>
              <w:rPr>
                <w:rFonts w:ascii="Arial" w:hAnsi="Arial" w:cs="Arial"/>
                <w:b w:val="0"/>
                <w:i w:val="0"/>
                <w:sz w:val="15"/>
              </w:rPr>
              <w:t>المعلمون مسؤولون عن كلامهم (ع1).</w:t>
            </w:r>
          </w:p>
        </w:tc>
        <w:tc>
          <w:tcPr>
            <w:tcW w:type="dxa" w:w="5032"/>
          </w:tcPr>
          <w:p>
            <w:pPr>
              <w:spacing w:after="0" w:before="0" w:line="221" w:lineRule="auto"/>
              <w:jc w:val="right"/>
              <w:bidi w:val="1"/>
            </w:pPr>
            <w:r>
              <w:rPr>
                <w:rFonts w:ascii="Arial" w:hAnsi="Arial" w:cs="Arial"/>
                <w:b w:val="0"/>
                <w:i w:val="0"/>
                <w:sz w:val="15"/>
              </w:rPr>
              <w:t>لا تتسرع في تصحيح الجميع. التعليم يحمل مسؤولية أمام الله.</w:t>
            </w:r>
          </w:p>
        </w:tc>
      </w:tr>
      <w:tr>
        <w:trPr>
          <w:cantSplit/>
        </w:trPr>
        <w:tc>
          <w:tcPr>
            <w:tcW w:type="dxa" w:w="5032"/>
          </w:tcPr>
          <w:p>
            <w:pPr>
              <w:spacing w:after="0" w:before="0" w:line="221" w:lineRule="auto"/>
              <w:jc w:val="right"/>
              <w:bidi w:val="1"/>
            </w:pPr>
            <w:r>
              <w:rPr>
                <w:rFonts w:ascii="Arial" w:hAnsi="Arial" w:cs="Arial"/>
                <w:b w:val="0"/>
                <w:i w:val="0"/>
                <w:sz w:val="15"/>
              </w:rPr>
              <w:t>عضو صغير يوجه الكثير (ع3-5).</w:t>
            </w:r>
          </w:p>
        </w:tc>
        <w:tc>
          <w:tcPr>
            <w:tcW w:type="dxa" w:w="5032"/>
          </w:tcPr>
          <w:p>
            <w:pPr>
              <w:spacing w:after="0" w:before="0" w:line="221" w:lineRule="auto"/>
              <w:jc w:val="right"/>
              <w:bidi w:val="1"/>
            </w:pPr>
            <w:r>
              <w:rPr>
                <w:rFonts w:ascii="Arial" w:hAnsi="Arial" w:cs="Arial"/>
                <w:b w:val="0"/>
                <w:i w:val="0"/>
                <w:sz w:val="15"/>
              </w:rPr>
              <w:t>بضع كلمات قد تحدد اتجاه صداقة أو أسرة أو إكليسيا أو مكان عمل.</w:t>
            </w:r>
          </w:p>
        </w:tc>
      </w:tr>
      <w:tr>
        <w:trPr>
          <w:cantSplit/>
        </w:trPr>
        <w:tc>
          <w:tcPr>
            <w:tcW w:type="dxa" w:w="5032"/>
          </w:tcPr>
          <w:p>
            <w:pPr>
              <w:spacing w:after="0" w:before="0" w:line="221" w:lineRule="auto"/>
              <w:jc w:val="right"/>
              <w:bidi w:val="1"/>
            </w:pPr>
            <w:r>
              <w:rPr>
                <w:rFonts w:ascii="Arial" w:hAnsi="Arial" w:cs="Arial"/>
                <w:b w:val="0"/>
                <w:i w:val="0"/>
                <w:sz w:val="15"/>
              </w:rPr>
              <w:t>اللسان يمكن أن يكون ناراً (ع5-6).</w:t>
            </w:r>
          </w:p>
        </w:tc>
        <w:tc>
          <w:tcPr>
            <w:tcW w:type="dxa" w:w="5032"/>
          </w:tcPr>
          <w:p>
            <w:pPr>
              <w:spacing w:after="0" w:before="0" w:line="221" w:lineRule="auto"/>
              <w:jc w:val="right"/>
              <w:bidi w:val="1"/>
            </w:pPr>
            <w:r>
              <w:rPr>
                <w:rFonts w:ascii="Arial" w:hAnsi="Arial" w:cs="Arial"/>
                <w:b w:val="0"/>
                <w:i w:val="0"/>
                <w:sz w:val="15"/>
              </w:rPr>
              <w:t>كلمة واحدة غاضبة أو خبيثة قد تنتشر أبعد بكثير من الحديث الأول.</w:t>
            </w:r>
          </w:p>
        </w:tc>
      </w:tr>
      <w:tr>
        <w:trPr>
          <w:cantSplit/>
        </w:trPr>
        <w:tc>
          <w:tcPr>
            <w:tcW w:type="dxa" w:w="5032"/>
          </w:tcPr>
          <w:p>
            <w:pPr>
              <w:spacing w:after="0" w:before="0" w:line="221" w:lineRule="auto"/>
              <w:jc w:val="right"/>
              <w:bidi w:val="1"/>
            </w:pPr>
            <w:r>
              <w:rPr>
                <w:rFonts w:ascii="Arial" w:hAnsi="Arial" w:cs="Arial"/>
                <w:b w:val="0"/>
                <w:i w:val="0"/>
                <w:sz w:val="15"/>
              </w:rPr>
              <w:t>لا إنسان يضبط اللسان ضبطاً كاملاً (ع8).</w:t>
            </w:r>
          </w:p>
        </w:tc>
        <w:tc>
          <w:tcPr>
            <w:tcW w:type="dxa" w:w="5032"/>
          </w:tcPr>
          <w:p>
            <w:pPr>
              <w:spacing w:after="0" w:before="0" w:line="221" w:lineRule="auto"/>
              <w:jc w:val="right"/>
              <w:bidi w:val="1"/>
            </w:pPr>
            <w:r>
              <w:rPr>
                <w:rFonts w:ascii="Arial" w:hAnsi="Arial" w:cs="Arial"/>
                <w:b w:val="0"/>
                <w:i w:val="0"/>
                <w:sz w:val="15"/>
              </w:rPr>
              <w:t>نحتاج إلى التواضع والمراقبة الدائمة والصلاة وكلمة الله.</w:t>
            </w:r>
          </w:p>
        </w:tc>
      </w:tr>
      <w:tr>
        <w:trPr>
          <w:cantSplit/>
        </w:trPr>
        <w:tc>
          <w:tcPr>
            <w:tcW w:type="dxa" w:w="5032"/>
          </w:tcPr>
          <w:p>
            <w:pPr>
              <w:spacing w:after="0" w:before="0" w:line="221" w:lineRule="auto"/>
              <w:jc w:val="right"/>
              <w:bidi w:val="1"/>
            </w:pPr>
            <w:r>
              <w:rPr>
                <w:rFonts w:ascii="Arial" w:hAnsi="Arial" w:cs="Arial"/>
                <w:b w:val="0"/>
                <w:i w:val="0"/>
                <w:sz w:val="15"/>
              </w:rPr>
              <w:t>لا ينبغي أن تخرج البركة واللعنة من الفم نفسه (ع9-10).</w:t>
            </w:r>
          </w:p>
        </w:tc>
        <w:tc>
          <w:tcPr>
            <w:tcW w:type="dxa" w:w="5032"/>
          </w:tcPr>
          <w:p>
            <w:pPr>
              <w:spacing w:after="0" w:before="0" w:line="221" w:lineRule="auto"/>
              <w:jc w:val="right"/>
              <w:bidi w:val="1"/>
            </w:pPr>
            <w:r>
              <w:rPr>
                <w:rFonts w:ascii="Arial" w:hAnsi="Arial" w:cs="Arial"/>
                <w:b w:val="0"/>
                <w:i w:val="0"/>
                <w:sz w:val="15"/>
              </w:rPr>
              <w:t>عبادتنا لله ينبغي أن تظهر في طريقتنا في الكلام عن الناس المخلوقين على صورته.</w:t>
            </w:r>
          </w:p>
        </w:tc>
      </w:tr>
      <w:tr>
        <w:trPr>
          <w:cantSplit/>
        </w:trPr>
        <w:tc>
          <w:tcPr>
            <w:tcW w:type="dxa" w:w="5032"/>
          </w:tcPr>
          <w:p>
            <w:pPr>
              <w:spacing w:after="0" w:before="0" w:line="221" w:lineRule="auto"/>
              <w:jc w:val="right"/>
              <w:bidi w:val="1"/>
            </w:pPr>
            <w:r>
              <w:rPr>
                <w:rFonts w:ascii="Arial" w:hAnsi="Arial" w:cs="Arial"/>
                <w:b w:val="0"/>
                <w:i w:val="0"/>
                <w:sz w:val="15"/>
              </w:rPr>
              <w:t>الحكمة من فوق مسالمة ومترفقة (ع17-18).</w:t>
            </w:r>
          </w:p>
        </w:tc>
        <w:tc>
          <w:tcPr>
            <w:tcW w:type="dxa" w:w="5032"/>
          </w:tcPr>
          <w:p>
            <w:pPr>
              <w:spacing w:after="0" w:before="0" w:line="221" w:lineRule="auto"/>
              <w:jc w:val="right"/>
              <w:bidi w:val="1"/>
            </w:pPr>
            <w:r>
              <w:rPr>
                <w:rFonts w:ascii="Arial" w:hAnsi="Arial" w:cs="Arial"/>
                <w:b w:val="0"/>
                <w:i w:val="0"/>
                <w:sz w:val="15"/>
              </w:rPr>
              <w:t>الكلام التقي يطلب الطهارة والرحمة والثمر الصالح والسلام.</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«وأما اللسان فلا يستطيع أحد من الناس أن يذلله. هو شر لا يُضبط مملوء سماً مميتاً.»</w:t>
            </w:r>
          </w:p>
          <w:p>
            <w:pPr>
              <w:spacing w:after="0" w:before="0" w:line="221" w:lineRule="auto"/>
              <w:jc w:val="right"/>
              <w:bidi w:val="1"/>
            </w:pPr>
            <w:r>
              <w:rPr>
                <w:rFonts w:ascii="Arial" w:hAnsi="Arial" w:cs="Arial"/>
                <w:b/>
                <w:i w:val="0"/>
                <w:color w:val="333333"/>
                <w:sz w:val="17"/>
              </w:rPr>
              <w:t>يعقوب 3:8  •  King James Version</w:t>
            </w:r>
          </w:p>
        </w:tc>
      </w:tr>
    </w:tbl>
    <w:p>
      <w:pPr>
        <w:spacing w:before="40" w:after="12" w:line="226" w:lineRule="auto"/>
        <w:jc w:val="right"/>
        <w:keepNext/>
        <w:bidi w:val="1"/>
      </w:pPr>
      <w:r>
        <w:rPr>
          <w:rFonts w:ascii="Arial" w:hAnsi="Arial" w:cs="Arial"/>
          <w:b/>
          <w:i w:val="0"/>
          <w:color w:val="1F4E79"/>
          <w:sz w:val="23"/>
        </w:rPr>
        <w:t>«يُضرم من جهنم» — ماذا قصد يعقوب؟</w:t>
      </w:r>
    </w:p>
    <w:p>
      <w:pPr>
        <w:spacing w:after="12" w:line="226" w:lineRule="auto"/>
        <w:jc w:val="right"/>
        <w:bidi w:val="1"/>
      </w:pPr>
      <w:r>
        <w:rPr>
          <w:rFonts w:ascii="Arial" w:hAnsi="Arial" w:cs="Arial"/>
          <w:b w:val="0"/>
          <w:i w:val="0"/>
          <w:sz w:val="18"/>
        </w:rPr>
        <w:t>يستخدم يعقوب 3:6 الكلمة اليونانية Gehenna المترجمة «جهنم» في KJV. وترتبط جهنم بوادي هنوم قرب أورشليم، وهو مكان ارتبط في العهد القديم بعبادة الأصنام ودينونة الله (الملوك الثاني 23:10؛ إرميا 7:31-32). يستخدم يعقوب هذه الصورة القوية ليبين مدى تدمير الكلام غير المضبوط وتنجيسه.</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تصحيح لشرح شائع</w:t>
            </w:r>
          </w:p>
          <w:p>
            <w:pPr>
              <w:spacing w:after="0" w:before="0" w:line="221" w:lineRule="auto"/>
              <w:jc w:val="right"/>
              <w:bidi w:val="1"/>
            </w:pPr>
            <w:r>
              <w:rPr>
                <w:rFonts w:ascii="Arial" w:hAnsi="Arial" w:cs="Arial"/>
                <w:b w:val="0"/>
                <w:i w:val="0"/>
                <w:sz w:val="17"/>
              </w:rPr>
              <w:t>لا ينبغي أن يعتمد الدرس على الادعاء المتأخر بأن جهنم كانت مكب نفايات مشتعل باستمرار في زمن يسوع. الخلفية الكتابية نفسها تكفي: صار وادي هنوم صورة خطيرة للدينونة والهلاك.</w:t>
            </w:r>
          </w:p>
        </w:tc>
      </w:tr>
    </w:tbl>
    <w:p>
      <w:pPr>
        <w:spacing w:before="40" w:after="12" w:line="226" w:lineRule="auto"/>
        <w:jc w:val="right"/>
        <w:keepNext/>
        <w:bidi w:val="1"/>
      </w:pPr>
      <w:r>
        <w:rPr>
          <w:rFonts w:ascii="Arial" w:hAnsi="Arial" w:cs="Arial"/>
          <w:b/>
          <w:i w:val="0"/>
          <w:color w:val="1F4E79"/>
          <w:sz w:val="23"/>
        </w:rPr>
        <w:t>الغضب: أطفئ النار قبل أن تنتشر</w:t>
      </w:r>
    </w:p>
    <w:p>
      <w:pPr>
        <w:spacing w:after="12" w:line="226" w:lineRule="auto"/>
        <w:jc w:val="right"/>
        <w:bidi w:val="1"/>
      </w:pPr>
      <w:r>
        <w:rPr>
          <w:rFonts w:ascii="Arial" w:hAnsi="Arial" w:cs="Arial"/>
          <w:b w:val="0"/>
          <w:i w:val="0"/>
          <w:sz w:val="18"/>
        </w:rPr>
        <w:t>نحن أكثر عرضة لإساءة استخدام كلماتنا حين نغضب. الكلام الجارح غالباً ما يولد كلاماً أكثر جرحاً، وقد يكبر خلاف صغير سريعاً. تعلم داود أن يترك الدينونة لله بدلاً من تغذية المرارة.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«كف عن الغضب واترك السخط ولا تغر لفعل الشر. لأن عاملي الشر يقطعون والذين ينتظرون الرب هم يرثون الأرض.»</w:t>
            </w:r>
          </w:p>
          <w:p>
            <w:pPr>
              <w:spacing w:after="0" w:before="0" w:line="221" w:lineRule="auto"/>
              <w:jc w:val="right"/>
              <w:bidi w:val="1"/>
            </w:pPr>
            <w:r>
              <w:rPr>
                <w:rFonts w:ascii="Arial" w:hAnsi="Arial" w:cs="Arial"/>
                <w:b/>
                <w:i w:val="0"/>
                <w:color w:val="333333"/>
                <w:sz w:val="17"/>
              </w:rPr>
              <w:t>مزمور 37:8-9  •  King James Version</w:t>
            </w:r>
          </w:p>
        </w:tc>
      </w:tr>
    </w:tbl>
    <w:p>
      <w:pPr>
        <w:spacing w:after="12" w:line="226" w:lineRule="auto"/>
        <w:jc w:val="right"/>
        <w:bidi w:val="1"/>
      </w:pPr>
      <w:r>
        <w:rPr>
          <w:rFonts w:ascii="Arial" w:hAnsi="Arial" w:cs="Arial"/>
          <w:b w:val="0"/>
          <w:i w:val="0"/>
          <w:sz w:val="18"/>
        </w:rPr>
        <w:t>لا يتظاهر بولس أن الغضب لا يحدث. لكنه يطلب ألا نتركه يتحول إلى خطية أو مرارة أو كلام فاسد:</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«اغضبوا ولا تخطئوا. لا تغرب الشمس على غيظكم.»</w:t>
            </w:r>
          </w:p>
          <w:p>
            <w:pPr>
              <w:spacing w:after="0" w:before="0" w:line="221" w:lineRule="auto"/>
              <w:jc w:val="right"/>
              <w:bidi w:val="1"/>
            </w:pPr>
            <w:r>
              <w:rPr>
                <w:rFonts w:ascii="Arial" w:hAnsi="Arial" w:cs="Arial"/>
                <w:b/>
                <w:i w:val="0"/>
                <w:color w:val="333333"/>
                <w:sz w:val="17"/>
              </w:rPr>
              <w:t>أفسس 4:26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«لا تخرج كلمة ردية من أفواهكم، بل كل ما كان صالحاً للبنيان حسب الحاجة كي يعطي نعمة للسامعين.»</w:t>
            </w:r>
          </w:p>
          <w:p>
            <w:pPr>
              <w:spacing w:after="0" w:before="0" w:line="221" w:lineRule="auto"/>
              <w:jc w:val="right"/>
              <w:bidi w:val="1"/>
            </w:pPr>
            <w:r>
              <w:rPr>
                <w:rFonts w:ascii="Arial" w:hAnsi="Arial" w:cs="Arial"/>
                <w:b/>
                <w:i w:val="0"/>
                <w:color w:val="333333"/>
                <w:sz w:val="17"/>
              </w:rPr>
              <w:t>أفسس 4:29  •  King James Version</w:t>
            </w:r>
          </w:p>
        </w:tc>
      </w:tr>
    </w:tbl>
    <w:p>
      <w:pPr>
        <w:spacing w:after="12" w:line="226" w:lineRule="auto"/>
        <w:jc w:val="right"/>
        <w:bidi w:val="1"/>
      </w:pPr>
      <w:r>
        <w:rPr>
          <w:rFonts w:ascii="Arial" w:hAnsi="Arial" w:cs="Arial"/>
          <w:b w:val="0"/>
          <w:i w:val="0"/>
          <w:sz w:val="18"/>
        </w:rPr>
        <w:t>هذا يعني أن نتعلم التوقف والاستماع والاعتذار والغفران. وقبل النوم من الحكمة أن نسأل إن كنا نحمل غضباً على أحد، أو إن كانت كلماتنا قد سببت جرحاً ينبغي أن نسعى لإصلاحه.</w:t>
      </w:r>
    </w:p>
    <w:p>
      <w:pPr>
        <w:spacing w:before="40" w:after="12" w:line="226" w:lineRule="auto"/>
        <w:jc w:val="right"/>
        <w:keepNext/>
        <w:bidi w:val="1"/>
      </w:pPr>
      <w:r>
        <w:rPr>
          <w:rFonts w:ascii="Arial" w:hAnsi="Arial" w:cs="Arial"/>
          <w:b/>
          <w:i w:val="0"/>
          <w:color w:val="1F4E79"/>
          <w:sz w:val="23"/>
        </w:rPr>
        <w:t>النميمة والافتراء</w:t>
      </w:r>
    </w:p>
    <w:p>
      <w:pPr>
        <w:spacing w:after="12" w:line="226" w:lineRule="auto"/>
        <w:jc w:val="right"/>
        <w:bidi w:val="1"/>
      </w:pPr>
      <w:r>
        <w:rPr>
          <w:rFonts w:ascii="Arial" w:hAnsi="Arial" w:cs="Arial"/>
          <w:b w:val="0"/>
          <w:i w:val="0"/>
          <w:sz w:val="18"/>
        </w:rPr>
        <w:t>النميمة كلام عن الآخرين ينشر بلا حاجة معلومات خاصة أو ضارة أو مثيرة. ولا يصير تكرار الشيء صحيحاً لمجرد أنه حقيقي. يدين الكتاب أيضاً الهمس والغيبة والكلام بما لا ينبغي.</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«الرجل الأكوع يطلق الخصومة والنمام يفرق الأصدقاء.»</w:t>
            </w:r>
          </w:p>
          <w:p>
            <w:pPr>
              <w:spacing w:after="0" w:before="0" w:line="221" w:lineRule="auto"/>
              <w:jc w:val="right"/>
              <w:bidi w:val="1"/>
            </w:pPr>
            <w:r>
              <w:rPr>
                <w:rFonts w:ascii="Arial" w:hAnsi="Arial" w:cs="Arial"/>
                <w:b/>
                <w:i w:val="0"/>
                <w:color w:val="333333"/>
                <w:sz w:val="17"/>
              </w:rPr>
              <w:t>أمثال 16:28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«ومع ذلك أيضاً يتعلمن أن يكن بطالات يطفن في البيوت، ولسن بطالات فقط بل مهذارات أيضاً وفضوليات يتكلمن بما لا يجب.»</w:t>
            </w:r>
          </w:p>
          <w:p>
            <w:pPr>
              <w:spacing w:after="0" w:before="0" w:line="221" w:lineRule="auto"/>
              <w:jc w:val="right"/>
              <w:bidi w:val="1"/>
            </w:pPr>
            <w:r>
              <w:rPr>
                <w:rFonts w:ascii="Arial" w:hAnsi="Arial" w:cs="Arial"/>
                <w:b/>
                <w:i w:val="0"/>
                <w:color w:val="333333"/>
                <w:sz w:val="17"/>
              </w:rPr>
              <w:t>تيموثاوس الأولى 5:13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قبل أن تكرر قصة اسأل</w:t>
            </w:r>
          </w:p>
          <w:p>
            <w:pPr>
              <w:spacing w:after="0" w:before="0" w:line="221" w:lineRule="auto"/>
              <w:jc w:val="right"/>
              <w:bidi w:val="1"/>
            </w:pPr>
            <w:r>
              <w:rPr>
                <w:rFonts w:ascii="Arial" w:hAnsi="Arial" w:cs="Arial"/>
                <w:b w:val="0"/>
                <w:i w:val="0"/>
                <w:sz w:val="17"/>
              </w:rPr>
              <w:t>هل هي صحيحة؟ هل هي ضرورية؟ هل هي لطيفة؟ هل أنا الشخص المناسب لقولها؟ هل كنت سأقولها لو كان الشخص المعني حاضراً؟ هل أرتاح لقولها في حضور الرب يسوع؟</w:t>
            </w:r>
          </w:p>
        </w:tc>
      </w:tr>
    </w:tbl>
    <w:p>
      <w:pPr>
        <w:spacing w:after="12" w:line="226" w:lineRule="auto"/>
        <w:jc w:val="right"/>
        <w:bidi w:val="1"/>
      </w:pPr>
      <w:r>
        <w:rPr>
          <w:rFonts w:ascii="Arial" w:hAnsi="Arial" w:cs="Arial"/>
          <w:b w:val="0"/>
          <w:i w:val="0"/>
          <w:sz w:val="18"/>
        </w:rPr>
        <w:t>أحياناً يجب فعلاً الإبلاغ عن خطأ خطير للشخص المناسب — مثلاً حين يكون شخص معرضاً للأذى. هذا ليس نميمة. الهدف هو الحماية والحق والعمل الصحيح، لا التسلية أو هدم سمعة أحد.</w:t>
      </w:r>
    </w:p>
    <w:p>
      <w:pPr>
        <w:spacing w:before="40" w:after="12" w:line="226" w:lineRule="auto"/>
        <w:jc w:val="right"/>
        <w:keepNext/>
        <w:bidi w:val="1"/>
      </w:pPr>
      <w:r>
        <w:rPr>
          <w:rFonts w:ascii="Arial" w:hAnsi="Arial" w:cs="Arial"/>
          <w:b/>
          <w:i w:val="0"/>
          <w:color w:val="1F4E79"/>
          <w:sz w:val="23"/>
        </w:rPr>
        <w:t>أسماء الله وابنه</w:t>
      </w:r>
    </w:p>
    <w:p>
      <w:pPr>
        <w:spacing w:after="12" w:line="226" w:lineRule="auto"/>
        <w:jc w:val="right"/>
        <w:bidi w:val="1"/>
      </w:pPr>
      <w:r>
        <w:rPr>
          <w:rFonts w:ascii="Arial" w:hAnsi="Arial" w:cs="Arial"/>
          <w:b w:val="0"/>
          <w:i w:val="0"/>
          <w:sz w:val="18"/>
        </w:rPr>
        <w:t>ينبغي التعامل مع اسمي الله والرب يسوع بتوقير. لا ينبغي استعمالهما عشوائياً كصيحات أو جزء من كلام مسيء أو فاحش. تقول الوصية الثالثة: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«لا تنطق باسم الرب إلهك باطلاً، لأن الرب لا يبرئ من نطق باسمه باطلاً.»</w:t>
            </w:r>
          </w:p>
          <w:p>
            <w:pPr>
              <w:spacing w:after="0" w:before="0" w:line="221" w:lineRule="auto"/>
              <w:jc w:val="right"/>
              <w:bidi w:val="1"/>
            </w:pPr>
            <w:r>
              <w:rPr>
                <w:rFonts w:ascii="Arial" w:hAnsi="Arial" w:cs="Arial"/>
                <w:b/>
                <w:i w:val="0"/>
                <w:color w:val="333333"/>
                <w:sz w:val="17"/>
              </w:rPr>
              <w:t>التثنية 5:11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«وأما الآن فاطرحوا عنكم أنتم أيضاً الكل: الغضب والسخط والخبث والتجديف والكلام القبيح من أفواهكم.»</w:t>
            </w:r>
          </w:p>
          <w:p>
            <w:pPr>
              <w:spacing w:after="0" w:before="0" w:line="221" w:lineRule="auto"/>
              <w:jc w:val="right"/>
              <w:bidi w:val="1"/>
            </w:pPr>
            <w:r>
              <w:rPr>
                <w:rFonts w:ascii="Arial" w:hAnsi="Arial" w:cs="Arial"/>
                <w:b/>
                <w:i w:val="0"/>
                <w:color w:val="333333"/>
                <w:sz w:val="17"/>
              </w:rPr>
              <w:t>كولوسي 3:8  •  King James Version</w:t>
            </w:r>
          </w:p>
        </w:tc>
      </w:tr>
    </w:tbl>
    <w:p>
      <w:pPr>
        <w:spacing w:before="40" w:after="12" w:line="226" w:lineRule="auto"/>
        <w:jc w:val="right"/>
        <w:keepNext/>
        <w:bidi w:val="1"/>
      </w:pPr>
      <w:r>
        <w:rPr>
          <w:rFonts w:ascii="Arial" w:hAnsi="Arial" w:cs="Arial"/>
          <w:b/>
          <w:i w:val="0"/>
          <w:color w:val="1F4E79"/>
          <w:sz w:val="23"/>
        </w:rPr>
        <w:t>الأقسام والصدق البسيط</w:t>
      </w:r>
    </w:p>
    <w:p>
      <w:pPr>
        <w:spacing w:after="12" w:line="226" w:lineRule="auto"/>
        <w:jc w:val="right"/>
        <w:bidi w:val="1"/>
      </w:pPr>
      <w:r>
        <w:rPr>
          <w:rFonts w:ascii="Arial" w:hAnsi="Arial" w:cs="Arial"/>
          <w:b w:val="0"/>
          <w:i w:val="0"/>
          <w:sz w:val="18"/>
        </w:rPr>
        <w:t>علّم يسوع أن يكون كلام تلاميذه العادي صادقاً إلى درجة لا تحتاج إلى أقسام معقدة. وفهم الكريستادلفيان تقليدياً متى 5:33-37 ويعقوب 5:12 على أن التلميذ يتجنب الأقسام الدينية ويستخدم تأكيداً صادقاً بسيطاً حيث يسمح القانون المدني بذلك.</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«بل ليكن كلامكم نعم نعم، لا لا. وما زاد على ذلك فهو من الشرير.»</w:t>
            </w:r>
          </w:p>
          <w:p>
            <w:pPr>
              <w:spacing w:after="0" w:before="0" w:line="221" w:lineRule="auto"/>
              <w:jc w:val="right"/>
              <w:bidi w:val="1"/>
            </w:pPr>
            <w:r>
              <w:rPr>
                <w:rFonts w:ascii="Arial" w:hAnsi="Arial" w:cs="Arial"/>
                <w:b/>
                <w:i w:val="0"/>
                <w:color w:val="333333"/>
                <w:sz w:val="17"/>
              </w:rPr>
              <w:t>متى 5:37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«ولكن قبل كل شيء يا إخوتي لا تحلفوا لا بالسماء ولا بالأرض ولا بقسم آخر. بل لتكن نعمكم نعم ولاكم لا لئلا تقعوا تحت دينونة.»</w:t>
            </w:r>
          </w:p>
          <w:p>
            <w:pPr>
              <w:spacing w:after="0" w:before="0" w:line="221" w:lineRule="auto"/>
              <w:jc w:val="right"/>
              <w:bidi w:val="1"/>
            </w:pPr>
            <w:r>
              <w:rPr>
                <w:rFonts w:ascii="Arial" w:hAnsi="Arial" w:cs="Arial"/>
                <w:b/>
                <w:i w:val="0"/>
                <w:color w:val="333333"/>
                <w:sz w:val="17"/>
              </w:rPr>
              <w:t>يعقوب 5:12  •  King James Version</w:t>
            </w:r>
          </w:p>
        </w:tc>
      </w:tr>
    </w:tbl>
    <w:p>
      <w:pPr>
        <w:spacing w:before="40" w:after="12" w:line="226" w:lineRule="auto"/>
        <w:jc w:val="right"/>
        <w:keepNext/>
        <w:bidi w:val="1"/>
      </w:pPr>
      <w:r>
        <w:rPr>
          <w:rFonts w:ascii="Arial" w:hAnsi="Arial" w:cs="Arial"/>
          <w:b/>
          <w:i w:val="0"/>
          <w:color w:val="1F4E79"/>
          <w:sz w:val="23"/>
        </w:rPr>
        <w:t>الكلام الأحمق والخشن والمخاصم</w:t>
      </w:r>
    </w:p>
    <w:p>
      <w:pPr>
        <w:spacing w:after="12" w:line="226" w:lineRule="auto"/>
        <w:jc w:val="right"/>
        <w:bidi w:val="1"/>
      </w:pPr>
      <w:r>
        <w:rPr>
          <w:rFonts w:ascii="Arial" w:hAnsi="Arial" w:cs="Arial"/>
          <w:b w:val="0"/>
          <w:i w:val="0"/>
          <w:sz w:val="18"/>
        </w:rPr>
        <w:t>ليست كل دعابة خطأ، ولا يمنع الكتاب الفكاهة النظيفة. التحذير من الكلام النجس أو الموحي جنسياً أو المهين أو القاسي أو المصمم ليجعل شخصاً موضوع احتقار. وينبغي أيضاً تجنب الجدالات التي لا فائدة منها وتثير الانقسام.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«ولا القباحة ولا كلام السفاهة والهزل التي لا تليق، بل بالحري الشكر.»</w:t>
            </w:r>
          </w:p>
          <w:p>
            <w:pPr>
              <w:spacing w:after="0" w:before="0" w:line="221" w:lineRule="auto"/>
              <w:jc w:val="right"/>
              <w:bidi w:val="1"/>
            </w:pPr>
            <w:r>
              <w:rPr>
                <w:rFonts w:ascii="Arial" w:hAnsi="Arial" w:cs="Arial"/>
                <w:b/>
                <w:i w:val="0"/>
                <w:color w:val="333333"/>
                <w:sz w:val="17"/>
              </w:rPr>
              <w:t>أفسس 5:4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«ولا يطعنوا في أحد ويكونوا غير مخاصمين حلماء مظهرين كل وداعة لجميع الناس.»</w:t>
            </w:r>
          </w:p>
          <w:p>
            <w:pPr>
              <w:spacing w:after="0" w:before="0" w:line="221" w:lineRule="auto"/>
              <w:jc w:val="right"/>
              <w:bidi w:val="1"/>
            </w:pPr>
            <w:r>
              <w:rPr>
                <w:rFonts w:ascii="Arial" w:hAnsi="Arial" w:cs="Arial"/>
                <w:b/>
                <w:i w:val="0"/>
                <w:color w:val="333333"/>
                <w:sz w:val="17"/>
              </w:rPr>
              <w:t>تيطس 3:2  •  King James Version</w:t>
            </w:r>
          </w:p>
        </w:tc>
      </w:tr>
    </w:tbl>
    <w:p>
      <w:pPr>
        <w:spacing w:after="12" w:line="226" w:lineRule="auto"/>
        <w:jc w:val="right"/>
        <w:bidi w:val="1"/>
      </w:pPr>
      <w:r>
        <w:rPr>
          <w:rFonts w:ascii="Arial" w:hAnsi="Arial" w:cs="Arial"/>
          <w:b w:val="0"/>
          <w:i w:val="0"/>
          <w:sz w:val="18"/>
        </w:rPr>
        <w:t>ويحذر تيطس 3:9-11 أيضاً من المباحثات الغبية والخصومات والانقسام المتكرر. لا يحتاج التلميذ أن يكسب كل جدال. أحياناً يكون أحكم استخدام للسان هو التوقف عن الكلام.</w:t>
      </w:r>
    </w:p>
    <w:p>
      <w:pPr>
        <w:spacing w:before="40" w:after="12" w:line="226" w:lineRule="auto"/>
        <w:jc w:val="right"/>
        <w:keepNext/>
        <w:bidi w:val="1"/>
      </w:pPr>
      <w:r>
        <w:rPr>
          <w:rFonts w:ascii="Arial" w:hAnsi="Arial" w:cs="Arial"/>
          <w:b/>
          <w:i w:val="0"/>
          <w:color w:val="1F4E79"/>
          <w:sz w:val="23"/>
        </w:rPr>
        <w:t>استخدم الكلام للبنيان لا للسيطرة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keepNext/>
              <w:bidi w:val="1"/>
            </w:pPr>
            <w:r>
              <w:rPr>
                <w:rFonts w:ascii="Arial" w:hAnsi="Arial" w:cs="Arial"/>
                <w:b/>
                <w:i w:val="0"/>
                <w:color w:val="1F4E79"/>
                <w:sz w:val="15"/>
              </w:rPr>
              <w:t>بدلاً من</w:t>
            </w:r>
          </w:p>
        </w:tc>
        <w:tc>
          <w:tcPr>
            <w:tcW w:type="dxa" w:w="5032"/>
            <w:shd w:fill="D9EAF7"/>
          </w:tcPr>
          <w:p>
            <w:pPr>
              <w:spacing w:after="0" w:before="0" w:line="221" w:lineRule="auto"/>
              <w:jc w:val="center"/>
              <w:keepNext/>
              <w:bidi w:val="1"/>
            </w:pPr>
            <w:r>
              <w:rPr>
                <w:rFonts w:ascii="Arial" w:hAnsi="Arial" w:cs="Arial"/>
                <w:b/>
                <w:i w:val="0"/>
                <w:color w:val="1F4E79"/>
                <w:sz w:val="15"/>
              </w:rPr>
              <w:t>حاول أن</w:t>
            </w:r>
          </w:p>
        </w:tc>
      </w:tr>
      <w:tr>
        <w:trPr>
          <w:cantSplit/>
        </w:trPr>
        <w:tc>
          <w:tcPr>
            <w:tcW w:type="dxa" w:w="5032"/>
          </w:tcPr>
          <w:p>
            <w:pPr>
              <w:spacing w:after="0" w:before="0" w:line="221" w:lineRule="auto"/>
              <w:jc w:val="right"/>
              <w:bidi w:val="1"/>
            </w:pPr>
            <w:r>
              <w:rPr>
                <w:rFonts w:ascii="Arial" w:hAnsi="Arial" w:cs="Arial"/>
                <w:b w:val="0"/>
                <w:i w:val="0"/>
                <w:sz w:val="15"/>
              </w:rPr>
              <w:t>الرد فوراً بالغضب</w:t>
            </w:r>
          </w:p>
        </w:tc>
        <w:tc>
          <w:tcPr>
            <w:tcW w:type="dxa" w:w="5032"/>
          </w:tcPr>
          <w:p>
            <w:pPr>
              <w:spacing w:after="0" w:before="0" w:line="221" w:lineRule="auto"/>
              <w:jc w:val="right"/>
              <w:bidi w:val="1"/>
            </w:pPr>
            <w:r>
              <w:rPr>
                <w:rFonts w:ascii="Arial" w:hAnsi="Arial" w:cs="Arial"/>
                <w:b w:val="0"/>
                <w:i w:val="0"/>
                <w:sz w:val="15"/>
              </w:rPr>
              <w:t>توقف وصلِّ وأجب بعد زوال الحرارة.</w:t>
            </w:r>
          </w:p>
        </w:tc>
      </w:tr>
      <w:tr>
        <w:trPr>
          <w:cantSplit/>
        </w:trPr>
        <w:tc>
          <w:tcPr>
            <w:tcW w:type="dxa" w:w="5032"/>
          </w:tcPr>
          <w:p>
            <w:pPr>
              <w:spacing w:after="0" w:before="0" w:line="221" w:lineRule="auto"/>
              <w:jc w:val="right"/>
              <w:bidi w:val="1"/>
            </w:pPr>
            <w:r>
              <w:rPr>
                <w:rFonts w:ascii="Arial" w:hAnsi="Arial" w:cs="Arial"/>
                <w:b w:val="0"/>
                <w:i w:val="0"/>
                <w:sz w:val="15"/>
              </w:rPr>
              <w:t>تكرار قصة ضارة</w:t>
            </w:r>
          </w:p>
        </w:tc>
        <w:tc>
          <w:tcPr>
            <w:tcW w:type="dxa" w:w="5032"/>
          </w:tcPr>
          <w:p>
            <w:pPr>
              <w:spacing w:after="0" w:before="0" w:line="221" w:lineRule="auto"/>
              <w:jc w:val="right"/>
              <w:bidi w:val="1"/>
            </w:pPr>
            <w:r>
              <w:rPr>
                <w:rFonts w:ascii="Arial" w:hAnsi="Arial" w:cs="Arial"/>
                <w:b w:val="0"/>
                <w:i w:val="0"/>
                <w:sz w:val="15"/>
              </w:rPr>
              <w:t>احفظ السر ولا تتكلم إلا مع من يحتاج فعلاً أن يعرف.</w:t>
            </w:r>
          </w:p>
        </w:tc>
      </w:tr>
      <w:tr>
        <w:trPr>
          <w:cantSplit/>
        </w:trPr>
        <w:tc>
          <w:tcPr>
            <w:tcW w:type="dxa" w:w="5032"/>
          </w:tcPr>
          <w:p>
            <w:pPr>
              <w:spacing w:after="0" w:before="0" w:line="221" w:lineRule="auto"/>
              <w:jc w:val="right"/>
              <w:bidi w:val="1"/>
            </w:pPr>
            <w:r>
              <w:rPr>
                <w:rFonts w:ascii="Arial" w:hAnsi="Arial" w:cs="Arial"/>
                <w:b w:val="0"/>
                <w:i w:val="0"/>
                <w:sz w:val="15"/>
              </w:rPr>
              <w:t>محاولة كسب كل خلاف</w:t>
            </w:r>
          </w:p>
        </w:tc>
        <w:tc>
          <w:tcPr>
            <w:tcW w:type="dxa" w:w="5032"/>
          </w:tcPr>
          <w:p>
            <w:pPr>
              <w:spacing w:after="0" w:before="0" w:line="221" w:lineRule="auto"/>
              <w:jc w:val="right"/>
              <w:bidi w:val="1"/>
            </w:pPr>
            <w:r>
              <w:rPr>
                <w:rFonts w:ascii="Arial" w:hAnsi="Arial" w:cs="Arial"/>
                <w:b w:val="0"/>
                <w:i w:val="0"/>
                <w:sz w:val="15"/>
              </w:rPr>
              <w:t>اصغ بعناية واطلب السلام دون التخلي عن الحق.</w:t>
            </w:r>
          </w:p>
        </w:tc>
      </w:tr>
      <w:tr>
        <w:trPr>
          <w:cantSplit/>
        </w:trPr>
        <w:tc>
          <w:tcPr>
            <w:tcW w:type="dxa" w:w="5032"/>
          </w:tcPr>
          <w:p>
            <w:pPr>
              <w:spacing w:after="0" w:before="0" w:line="221" w:lineRule="auto"/>
              <w:jc w:val="right"/>
              <w:bidi w:val="1"/>
            </w:pPr>
            <w:r>
              <w:rPr>
                <w:rFonts w:ascii="Arial" w:hAnsi="Arial" w:cs="Arial"/>
                <w:b w:val="0"/>
                <w:i w:val="0"/>
                <w:sz w:val="15"/>
              </w:rPr>
              <w:t>السخرية من الضعف</w:t>
            </w:r>
          </w:p>
        </w:tc>
        <w:tc>
          <w:tcPr>
            <w:tcW w:type="dxa" w:w="5032"/>
          </w:tcPr>
          <w:p>
            <w:pPr>
              <w:spacing w:after="0" w:before="0" w:line="221" w:lineRule="auto"/>
              <w:jc w:val="right"/>
              <w:bidi w:val="1"/>
            </w:pPr>
            <w:r>
              <w:rPr>
                <w:rFonts w:ascii="Arial" w:hAnsi="Arial" w:cs="Arial"/>
                <w:b w:val="0"/>
                <w:i w:val="0"/>
                <w:sz w:val="15"/>
              </w:rPr>
              <w:t>شجع المتعب وتكلم بالرحمة.</w:t>
            </w:r>
          </w:p>
        </w:tc>
      </w:tr>
      <w:tr>
        <w:trPr>
          <w:cantSplit/>
        </w:trPr>
        <w:tc>
          <w:tcPr>
            <w:tcW w:type="dxa" w:w="5032"/>
          </w:tcPr>
          <w:p>
            <w:pPr>
              <w:spacing w:after="0" w:before="0" w:line="221" w:lineRule="auto"/>
              <w:jc w:val="right"/>
              <w:bidi w:val="1"/>
            </w:pPr>
            <w:r>
              <w:rPr>
                <w:rFonts w:ascii="Arial" w:hAnsi="Arial" w:cs="Arial"/>
                <w:b w:val="0"/>
                <w:i w:val="0"/>
                <w:sz w:val="15"/>
              </w:rPr>
              <w:t>الشكوى الدائمة</w:t>
            </w:r>
          </w:p>
        </w:tc>
        <w:tc>
          <w:tcPr>
            <w:tcW w:type="dxa" w:w="5032"/>
          </w:tcPr>
          <w:p>
            <w:pPr>
              <w:spacing w:after="0" w:before="0" w:line="221" w:lineRule="auto"/>
              <w:jc w:val="right"/>
              <w:bidi w:val="1"/>
            </w:pPr>
            <w:r>
              <w:rPr>
                <w:rFonts w:ascii="Arial" w:hAnsi="Arial" w:cs="Arial"/>
                <w:b w:val="0"/>
                <w:i w:val="0"/>
                <w:sz w:val="15"/>
              </w:rPr>
              <w:t>مارس الشكر ولاحظ مراحم الله.</w:t>
            </w:r>
          </w:p>
        </w:tc>
      </w:tr>
    </w:tbl>
    <w:p>
      <w:pPr>
        <w:spacing w:before="40" w:after="12" w:line="226" w:lineRule="auto"/>
        <w:jc w:val="right"/>
        <w:keepNext/>
        <w:bidi w:val="1"/>
      </w:pPr>
      <w:r>
        <w:rPr>
          <w:rFonts w:ascii="Arial" w:hAnsi="Arial" w:cs="Arial"/>
          <w:b/>
          <w:i w:val="0"/>
          <w:color w:val="1F4E79"/>
          <w:sz w:val="23"/>
        </w:rPr>
        <w:t>مثال الرب يسوع</w:t>
      </w:r>
    </w:p>
    <w:p>
      <w:pPr>
        <w:spacing w:after="12" w:line="226" w:lineRule="auto"/>
        <w:jc w:val="right"/>
        <w:bidi w:val="1"/>
      </w:pPr>
      <w:r>
        <w:rPr>
          <w:rFonts w:ascii="Arial" w:hAnsi="Arial" w:cs="Arial"/>
          <w:b w:val="0"/>
          <w:i w:val="0"/>
          <w:sz w:val="18"/>
        </w:rPr>
        <w:t>أوضح مثال هو يسوع نفسه. كان يستطيع أن يتكلم بقوة حين يتطلب الحق، لكنه لم يخاصم لمصلحة شخصية، ولم يسحق الضعيف، ولم يرد الإهانة بإهانة. يطبق متى نبوة خادم إشعياء عليه: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«لا يخاصم ولا يصيح ولا يسمع أحد في الشوارع صوته. قصبة مرضوضة لا يقصف وفتيلة مدخنة لا يطفئ حتى يخرج الحق إلى النصرة.»</w:t>
            </w:r>
          </w:p>
          <w:p>
            <w:pPr>
              <w:spacing w:after="0" w:before="0" w:line="221" w:lineRule="auto"/>
              <w:jc w:val="right"/>
              <w:bidi w:val="1"/>
            </w:pPr>
            <w:r>
              <w:rPr>
                <w:rFonts w:ascii="Arial" w:hAnsi="Arial" w:cs="Arial"/>
                <w:b/>
                <w:i w:val="0"/>
                <w:color w:val="333333"/>
                <w:sz w:val="17"/>
              </w:rPr>
              <w:t>متى 12:19-20  •  King James Version</w:t>
            </w:r>
          </w:p>
        </w:tc>
      </w:tr>
    </w:tbl>
    <w:p>
      <w:pPr>
        <w:spacing w:after="12" w:line="226" w:lineRule="auto"/>
        <w:jc w:val="right"/>
        <w:bidi w:val="1"/>
      </w:pPr>
      <w:r>
        <w:rPr>
          <w:rFonts w:ascii="Arial" w:hAnsi="Arial" w:cs="Arial"/>
          <w:b w:val="0"/>
          <w:i w:val="0"/>
          <w:sz w:val="18"/>
        </w:rPr>
        <w:t>حين تألم يسوع لم يرد القسوة بالقسوة. وبعد ذلك وجّه بطرس المؤمنين مباشرة إلى هذا المثال:</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«الذي لم يفعل خطية ولا وُجد في فمه مكر. الذي إذ شُتم لم يكن يشتم عوضاً، وإذ تألم لم يكن يهدد بل كان يسلم لمن يقضي بعدل.»</w:t>
            </w:r>
          </w:p>
          <w:p>
            <w:pPr>
              <w:spacing w:after="0" w:before="0" w:line="221" w:lineRule="auto"/>
              <w:jc w:val="right"/>
              <w:bidi w:val="1"/>
            </w:pPr>
            <w:r>
              <w:rPr>
                <w:rFonts w:ascii="Arial" w:hAnsi="Arial" w:cs="Arial"/>
                <w:b/>
                <w:i w:val="0"/>
                <w:color w:val="333333"/>
                <w:sz w:val="17"/>
              </w:rPr>
              <w:t>بطرس الأولى 2:22-23  •  King James Version</w:t>
            </w:r>
          </w:p>
        </w:tc>
      </w:tr>
    </w:tbl>
    <w:p>
      <w:pPr>
        <w:spacing w:after="12" w:line="226" w:lineRule="auto"/>
        <w:jc w:val="right"/>
        <w:bidi w:val="1"/>
      </w:pPr>
      <w:r>
        <w:rPr>
          <w:rFonts w:ascii="Arial" w:hAnsi="Arial" w:cs="Arial"/>
          <w:b w:val="0"/>
          <w:i w:val="0"/>
          <w:sz w:val="18"/>
        </w:rPr>
        <w:t>ولا يعني هذا أن التلاميذ لا يدافعون أبداً عن آخر أو يبلغون عن خطأ أو يتكلمون بقوة ضد الشر. يسوع نفسه كشف الرياء وحمى الضعفاء. الدرس أن كلامنا لا ينبغي أن تدفعه الكبرياء أو الانتقام أو الخبث أو الرغبة في الإذلال.</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هدف عملي</w:t>
            </w:r>
          </w:p>
          <w:p>
            <w:pPr>
              <w:spacing w:after="0" w:before="0" w:line="221" w:lineRule="auto"/>
              <w:jc w:val="right"/>
              <w:bidi w:val="1"/>
            </w:pPr>
            <w:r>
              <w:rPr>
                <w:rFonts w:ascii="Arial" w:hAnsi="Arial" w:cs="Arial"/>
                <w:b w:val="0"/>
                <w:i w:val="0"/>
                <w:sz w:val="17"/>
              </w:rPr>
              <w:t>استخدم عطية الكلام لقول الحق، وتسبيح الله، وتعليم كلمته، وصنع السلام، وتشجيع الضعيف، والاعتذار عند الخطأ، والغفران عند الجرح، وترك الدينونة الأخيرة لله.</w:t>
            </w:r>
          </w:p>
        </w:tc>
      </w:tr>
    </w:tbl>
    <w:p>
      <w:pPr>
        <w:spacing w:before="40" w:after="12" w:line="226" w:lineRule="auto"/>
        <w:jc w:val="right"/>
        <w:keepNext/>
        <w:bidi w:val="1"/>
      </w:pPr>
      <w:r>
        <w:rPr>
          <w:rFonts w:ascii="Arial" w:hAnsi="Arial" w:cs="Arial"/>
          <w:b/>
          <w:i w:val="0"/>
          <w:color w:val="1F4E79"/>
          <w:sz w:val="23"/>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1</w:t>
            </w:r>
          </w:p>
        </w:tc>
        <w:tc>
          <w:tcPr>
            <w:tcW w:type="dxa" w:w="5032"/>
          </w:tcPr>
          <w:p>
            <w:pPr>
              <w:spacing w:after="0" w:before="0" w:line="221" w:lineRule="auto"/>
              <w:jc w:val="right"/>
              <w:bidi w:val="1"/>
            </w:pPr>
            <w:r>
              <w:rPr>
                <w:rFonts w:ascii="Arial" w:hAnsi="Arial" w:cs="Arial"/>
                <w:b/>
                <w:i w:val="0"/>
                <w:color w:val="1F4E79"/>
                <w:sz w:val="18"/>
              </w:rPr>
              <w:t>كلماتنا مهمة أمام الله.</w:t>
            </w:r>
          </w:p>
          <w:p>
            <w:pPr>
              <w:spacing w:after="0" w:before="0" w:line="221" w:lineRule="auto"/>
              <w:jc w:val="right"/>
              <w:bidi w:val="1"/>
            </w:pPr>
            <w:r>
              <w:rPr>
                <w:rFonts w:ascii="Arial" w:hAnsi="Arial" w:cs="Arial"/>
                <w:b w:val="0"/>
                <w:i w:val="0"/>
                <w:sz w:val="17"/>
              </w:rPr>
              <w:t>حذر يسوع أن الكلمات البطالة سيُعطى عنها حساب في الدينونة.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2</w:t>
            </w:r>
          </w:p>
        </w:tc>
        <w:tc>
          <w:tcPr>
            <w:tcW w:type="dxa" w:w="5032"/>
          </w:tcPr>
          <w:p>
            <w:pPr>
              <w:spacing w:after="0" w:before="0" w:line="221" w:lineRule="auto"/>
              <w:jc w:val="right"/>
              <w:bidi w:val="1"/>
            </w:pPr>
            <w:r>
              <w:rPr>
                <w:rFonts w:ascii="Arial" w:hAnsi="Arial" w:cs="Arial"/>
                <w:b/>
                <w:i w:val="0"/>
                <w:color w:val="1F4E79"/>
                <w:sz w:val="18"/>
              </w:rPr>
              <w:t>الكلام يكشف القلب.</w:t>
            </w:r>
          </w:p>
          <w:p>
            <w:pPr>
              <w:spacing w:after="0" w:before="0" w:line="221" w:lineRule="auto"/>
              <w:jc w:val="right"/>
              <w:bidi w:val="1"/>
            </w:pPr>
            <w:r>
              <w:rPr>
                <w:rFonts w:ascii="Arial" w:hAnsi="Arial" w:cs="Arial"/>
                <w:b w:val="0"/>
                <w:i w:val="0"/>
                <w:sz w:val="17"/>
              </w:rPr>
              <w:t>ما يخرج من أفواهنا مراراً يبين ما نخزنه في الداخل.</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3</w:t>
            </w:r>
          </w:p>
        </w:tc>
        <w:tc>
          <w:tcPr>
            <w:tcW w:type="dxa" w:w="5032"/>
          </w:tcPr>
          <w:p>
            <w:pPr>
              <w:spacing w:after="0" w:before="0" w:line="221" w:lineRule="auto"/>
              <w:jc w:val="right"/>
              <w:bidi w:val="1"/>
            </w:pPr>
            <w:r>
              <w:rPr>
                <w:rFonts w:ascii="Arial" w:hAnsi="Arial" w:cs="Arial"/>
                <w:b/>
                <w:i w:val="0"/>
                <w:color w:val="1F4E79"/>
                <w:sz w:val="18"/>
              </w:rPr>
              <w:t>لللسان قوة تفوق حجمه.</w:t>
            </w:r>
          </w:p>
          <w:p>
            <w:pPr>
              <w:spacing w:after="0" w:before="0" w:line="221" w:lineRule="auto"/>
              <w:jc w:val="right"/>
              <w:bidi w:val="1"/>
            </w:pPr>
            <w:r>
              <w:rPr>
                <w:rFonts w:ascii="Arial" w:hAnsi="Arial" w:cs="Arial"/>
                <w:b w:val="0"/>
                <w:i w:val="0"/>
                <w:sz w:val="17"/>
              </w:rPr>
              <w:t>يشبهه يعقوب بالدفة والنار: شيء صغير يستطيع توجيه أو إفساد الكثير.</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4</w:t>
            </w:r>
          </w:p>
        </w:tc>
        <w:tc>
          <w:tcPr>
            <w:tcW w:type="dxa" w:w="5032"/>
          </w:tcPr>
          <w:p>
            <w:pPr>
              <w:spacing w:after="0" w:before="0" w:line="221" w:lineRule="auto"/>
              <w:jc w:val="right"/>
              <w:bidi w:val="1"/>
            </w:pPr>
            <w:r>
              <w:rPr>
                <w:rFonts w:ascii="Arial" w:hAnsi="Arial" w:cs="Arial"/>
                <w:b/>
                <w:i w:val="0"/>
                <w:color w:val="1F4E79"/>
                <w:sz w:val="18"/>
              </w:rPr>
              <w:t>قاوم الغضب والنميمة والكلام الخشن.</w:t>
            </w:r>
          </w:p>
          <w:p>
            <w:pPr>
              <w:spacing w:after="0" w:before="0" w:line="221" w:lineRule="auto"/>
              <w:jc w:val="right"/>
              <w:bidi w:val="1"/>
            </w:pPr>
            <w:r>
              <w:rPr>
                <w:rFonts w:ascii="Arial" w:hAnsi="Arial" w:cs="Arial"/>
                <w:b w:val="0"/>
                <w:i w:val="0"/>
                <w:sz w:val="17"/>
              </w:rPr>
              <w:t>يطلب التلاميذ كلمات صادقة وضرورية ولطيفة وبانية.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5</w:t>
            </w:r>
          </w:p>
        </w:tc>
        <w:tc>
          <w:tcPr>
            <w:tcW w:type="dxa" w:w="5032"/>
          </w:tcPr>
          <w:p>
            <w:pPr>
              <w:spacing w:after="0" w:before="0" w:line="221" w:lineRule="auto"/>
              <w:jc w:val="right"/>
              <w:bidi w:val="1"/>
            </w:pPr>
            <w:r>
              <w:rPr>
                <w:rFonts w:ascii="Arial" w:hAnsi="Arial" w:cs="Arial"/>
                <w:b/>
                <w:i w:val="0"/>
                <w:color w:val="1F4E79"/>
                <w:sz w:val="18"/>
              </w:rPr>
              <w:t>ينبغي أن يكون الصدق بسيطاً.</w:t>
            </w:r>
          </w:p>
          <w:p>
            <w:pPr>
              <w:spacing w:after="0" w:before="0" w:line="221" w:lineRule="auto"/>
              <w:jc w:val="right"/>
              <w:bidi w:val="1"/>
            </w:pPr>
            <w:r>
              <w:rPr>
                <w:rFonts w:ascii="Arial" w:hAnsi="Arial" w:cs="Arial"/>
                <w:b w:val="0"/>
                <w:i w:val="0"/>
                <w:sz w:val="17"/>
              </w:rPr>
              <w:t>تكون «نعم» و«لا» موثوقتين بلا أقسام متلاعبة أو غير موقرة.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6</w:t>
            </w:r>
          </w:p>
        </w:tc>
        <w:tc>
          <w:tcPr>
            <w:tcW w:type="dxa" w:w="5032"/>
          </w:tcPr>
          <w:p>
            <w:pPr>
              <w:spacing w:after="0" w:before="0" w:line="221" w:lineRule="auto"/>
              <w:jc w:val="right"/>
              <w:bidi w:val="1"/>
            </w:pPr>
            <w:r>
              <w:rPr>
                <w:rFonts w:ascii="Arial" w:hAnsi="Arial" w:cs="Arial"/>
                <w:b/>
                <w:i w:val="0"/>
                <w:color w:val="1F4E79"/>
                <w:sz w:val="18"/>
              </w:rPr>
              <w:t>يسوع مثالنا.</w:t>
            </w:r>
          </w:p>
          <w:p>
            <w:pPr>
              <w:spacing w:after="0" w:before="0" w:line="221" w:lineRule="auto"/>
              <w:jc w:val="right"/>
              <w:bidi w:val="1"/>
            </w:pPr>
            <w:r>
              <w:rPr>
                <w:rFonts w:ascii="Arial" w:hAnsi="Arial" w:cs="Arial"/>
                <w:b w:val="0"/>
                <w:i w:val="0"/>
                <w:sz w:val="17"/>
              </w:rPr>
              <w:t>تكلم بالحق بلا خداع، ورفض الانتقام، واستخدم الكلمات لتقوية الضعيف لا سحقه.</w:t>
            </w:r>
          </w:p>
        </w:tc>
      </w:tr>
    </w:tbl>
    <w:p>
      <w:pPr>
        <w:spacing w:before="40" w:after="12" w:line="226" w:lineRule="auto"/>
        <w:jc w:val="right"/>
        <w:keepNext/>
        <w:bidi w:val="1"/>
      </w:pPr>
      <w:r>
        <w:rPr>
          <w:rFonts w:ascii="Arial" w:hAnsi="Arial" w:cs="Arial"/>
          <w:b/>
          <w:i w:val="0"/>
          <w:color w:val="1F4E79"/>
          <w:sz w:val="23"/>
        </w:rPr>
        <w:t>فصول للقراءة</w:t>
      </w:r>
    </w:p>
    <w:p>
      <w:pPr>
        <w:spacing w:after="12" w:line="226" w:lineRule="auto"/>
        <w:jc w:val="right"/>
        <w:bidi w:val="1"/>
      </w:pPr>
      <w:r>
        <w:rPr>
          <w:rFonts w:ascii="Arial" w:hAnsi="Arial" w:cs="Arial"/>
          <w:b w:val="0"/>
          <w:i w:val="0"/>
          <w:sz w:val="18"/>
        </w:rPr>
        <w:t>يعقوب 3  •  مزمور 37:1-11  •  أفسس 4:25-32  •  بطرس الأولى 3:8-16  •  بطرس الأولى 2:21-25</w:t>
      </w:r>
    </w:p>
    <w:p>
      <w:pPr>
        <w:spacing w:before="40" w:after="12" w:line="226" w:lineRule="auto"/>
        <w:jc w:val="right"/>
        <w:keepNext/>
        <w:bidi w:val="1"/>
      </w:pPr>
      <w:r>
        <w:rPr>
          <w:rFonts w:ascii="Arial" w:hAnsi="Arial" w:cs="Arial"/>
          <w:b/>
          <w:i w:val="0"/>
          <w:color w:val="1F4E79"/>
          <w:sz w:val="23"/>
        </w:rPr>
        <w:t>للحفظ  •  يعقوب 1:19</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«إذاً يا إخوتي الأحباء ليكن كل إنسان مسرعاً في الاستماع، مبطئاً في التكلم، مبطئاً في الغضب.»</w:t>
            </w:r>
          </w:p>
          <w:p>
            <w:pPr>
              <w:spacing w:after="0" w:before="0" w:line="221" w:lineRule="auto"/>
              <w:jc w:val="right"/>
              <w:bidi w:val="1"/>
            </w:pPr>
            <w:r>
              <w:rPr>
                <w:rFonts w:ascii="Arial" w:hAnsi="Arial" w:cs="Arial"/>
                <w:b/>
                <w:i w:val="0"/>
                <w:color w:val="333333"/>
                <w:sz w:val="17"/>
              </w:rPr>
              <w:t>يعقوب 1:19  •  King James Version</w:t>
            </w:r>
          </w:p>
        </w:tc>
      </w:tr>
    </w:tbl>
    <w:sectPr w:rsidR="00FC693F" w:rsidRPr="0006063C" w:rsidSect="00034616">
      <w:headerReference w:type="default" r:id="rId9"/>
      <w:footerReference w:type="default" r:id="rId10"/>
      <w:pgSz w:w="11909" w:h="16834"/>
      <w:pgMar w:top="576" w:right="864" w:bottom="60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