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43</w:t>
      </w:r>
    </w:p>
    <w:p>
      <w:pPr>
        <w:spacing w:after="20"/>
        <w:jc w:val="center"/>
        <w:bidi w:val="1"/>
      </w:pPr>
      <w:r>
        <w:rPr>
          <w:rFonts w:ascii="Arial" w:hAnsi="Arial" w:cs="Arial"/>
          <w:b/>
          <w:i w:val="0"/>
          <w:color w:val="1F4E79"/>
          <w:sz w:val="35"/>
        </w:rPr>
        <w:t>كلمة الله في حياتنا اليومية</w:t>
      </w:r>
    </w:p>
    <w:p>
      <w:pPr>
        <w:spacing w:after="60"/>
        <w:jc w:val="center"/>
        <w:bidi w:val="1"/>
      </w:pPr>
      <w:r>
        <w:rPr>
          <w:rFonts w:ascii="Arial" w:hAnsi="Arial" w:cs="Arial"/>
          <w:b/>
          <w:i w:val="0"/>
          <w:color w:val="333333"/>
          <w:sz w:val="19"/>
        </w:rPr>
        <w:t>القراءة  •  التثنية 6</w:t>
      </w:r>
    </w:p>
    <w:p>
      <w:pPr>
        <w:spacing w:before="52" w:after="16"/>
        <w:jc w:val="right"/>
        <w:keepNext/>
        <w:bidi w:val="1"/>
      </w:pPr>
      <w:r>
        <w:rPr>
          <w:rFonts w:ascii="Arial" w:hAnsi="Arial" w:cs="Arial"/>
          <w:b/>
          <w:i w:val="0"/>
          <w:color w:val="1F4E79"/>
          <w:sz w:val="24"/>
        </w:rPr>
        <w:t>كلمة الله للحياة اليومية</w:t>
      </w:r>
    </w:p>
    <w:p>
      <w:pPr>
        <w:spacing w:after="22" w:line="226" w:lineRule="auto"/>
        <w:jc w:val="right"/>
        <w:bidi w:val="1"/>
      </w:pPr>
      <w:r>
        <w:rPr>
          <w:rFonts w:ascii="Arial" w:hAnsi="Arial" w:cs="Arial"/>
          <w:b w:val="0"/>
          <w:i w:val="0"/>
          <w:sz w:val="19"/>
        </w:rPr>
        <w:t>لم يُطلب من إسرائيل أن يسمعوا وصايا الله فقط، بل أن يتذكروها ويعلموها ويتكلموا بها ويعيشوا بحسبها. والمبدأ نفسه مهم لكل تلميذ للرب يسوع المسيح.</w:t>
      </w:r>
    </w:p>
    <w:p>
      <w:pPr>
        <w:spacing w:before="52" w:after="16"/>
        <w:jc w:val="right"/>
        <w:keepNext/>
        <w:bidi w:val="1"/>
      </w:pPr>
      <w:r>
        <w:rPr>
          <w:rFonts w:ascii="Arial" w:hAnsi="Arial" w:cs="Arial"/>
          <w:b/>
          <w:i w:val="0"/>
          <w:color w:val="1F4E79"/>
          <w:sz w:val="24"/>
        </w:rPr>
        <w:t>إسرائيل في البرية</w:t>
      </w:r>
    </w:p>
    <w:p>
      <w:pPr>
        <w:spacing w:after="22" w:line="226" w:lineRule="auto"/>
        <w:jc w:val="right"/>
        <w:bidi w:val="1"/>
      </w:pPr>
      <w:r>
        <w:rPr>
          <w:rFonts w:ascii="Arial" w:hAnsi="Arial" w:cs="Arial"/>
          <w:b w:val="0"/>
          <w:i w:val="0"/>
          <w:sz w:val="19"/>
        </w:rPr>
        <w:t>يسجل العهد القديم كيف أنقذ الله إسرائيل من العبودية في مصر، وعبر بهم البحر، وقادهم نحو الأرض الموعودة لإبراهيم. كان إنقاذهم عمل الله، لكنهم دُعوا بعد ذلك إلى الثقة به وطاعة كلمته.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«فإني لست أريد أيها الإخوة أن تجهلوا أن آباءنا جميعهم كانوا تحت السحابة، وجميعهم اجتازوا في البحر، وجميعهم اعتمدوا لموسى في السحابة وفي البحر.»</w:t>
            </w:r>
          </w:p>
          <w:p>
            <w:pPr>
              <w:spacing w:after="0"/>
              <w:jc w:val="right"/>
              <w:bidi w:val="1"/>
            </w:pPr>
            <w:r>
              <w:rPr>
                <w:rFonts w:ascii="Arial" w:hAnsi="Arial" w:cs="Arial"/>
                <w:b/>
                <w:i w:val="0"/>
                <w:color w:val="333333"/>
                <w:sz w:val="17"/>
              </w:rPr>
              <w:t>كورنثوس الأولى 10:1-2  •  King James Version</w:t>
            </w:r>
          </w:p>
        </w:tc>
      </w:tr>
    </w:tbl>
    <w:p>
      <w:pPr>
        <w:spacing w:after="22" w:line="226" w:lineRule="auto"/>
        <w:jc w:val="right"/>
        <w:bidi w:val="1"/>
      </w:pPr>
      <w:r>
        <w:rPr>
          <w:rFonts w:ascii="Arial" w:hAnsi="Arial" w:cs="Arial"/>
          <w:b w:val="0"/>
          <w:i w:val="0"/>
          <w:sz w:val="19"/>
        </w:rPr>
        <w:t>يستخدم بولس عبور إسرائيل البحر درساً للمؤمنين المعتمدين. كان الخلاص بداية علاقة جديدة مع الله، لا نهاية مسؤولياتهم.</w:t>
      </w:r>
    </w:p>
    <w:p>
      <w:pPr>
        <w:spacing w:before="52" w:after="16"/>
        <w:jc w:val="right"/>
        <w:keepNext/>
        <w:bidi w:val="1"/>
      </w:pPr>
      <w:r>
        <w:rPr>
          <w:rFonts w:ascii="Arial" w:hAnsi="Arial" w:cs="Arial"/>
          <w:b/>
          <w:i w:val="0"/>
          <w:color w:val="1F4E79"/>
          <w:sz w:val="24"/>
        </w:rPr>
        <w:t>شعب وعد بالطاعة</w:t>
      </w:r>
    </w:p>
    <w:p>
      <w:pPr>
        <w:spacing w:after="22" w:line="226" w:lineRule="auto"/>
        <w:jc w:val="right"/>
        <w:bidi w:val="1"/>
      </w:pPr>
      <w:r>
        <w:rPr>
          <w:rFonts w:ascii="Arial" w:hAnsi="Arial" w:cs="Arial"/>
          <w:b w:val="0"/>
          <w:i w:val="0"/>
          <w:sz w:val="19"/>
        </w:rPr>
        <w:t>في سيناء قطع الله عهداً مع إسرائيل. كان قد خلصهم؛ والآن دعاهم إلى سماع صوته وأن يصيروا شعباً مقدساً.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«فالآن إن سمعتم لصوتي وحفظتم عهدي تكونون لي خاصة من بين جميع الشعوب، فإن لي كل الأرض. وأنتم تكونون لي مملكة كهنة وأمة مقدسة.»</w:t>
            </w:r>
          </w:p>
          <w:p>
            <w:pPr>
              <w:spacing w:after="0"/>
              <w:jc w:val="right"/>
              <w:bidi w:val="1"/>
            </w:pPr>
            <w:r>
              <w:rPr>
                <w:rFonts w:ascii="Arial" w:hAnsi="Arial" w:cs="Arial"/>
                <w:b/>
                <w:i w:val="0"/>
                <w:color w:val="333333"/>
                <w:sz w:val="17"/>
              </w:rPr>
              <w:t>الخروج 19:5-6  •  King James Version</w:t>
            </w:r>
          </w:p>
        </w:tc>
      </w:tr>
    </w:tbl>
    <w:p>
      <w:pPr>
        <w:spacing w:after="22" w:line="226" w:lineRule="auto"/>
        <w:jc w:val="right"/>
        <w:bidi w:val="1"/>
      </w:pPr>
      <w:r>
        <w:rPr>
          <w:rFonts w:ascii="Arial" w:hAnsi="Arial" w:cs="Arial"/>
          <w:b w:val="0"/>
          <w:i w:val="0"/>
          <w:sz w:val="19"/>
        </w:rPr>
        <w:t>أجاب الشعب: «كل ما تكلم به الرب نفعل» (الخروج 19:8). ويبين تاريخهم اللاحق كم هو سهل أن نقدم وعداً صادقاً ثم نفشل في حمله إلى الحياة اليومية.</w:t>
      </w:r>
    </w:p>
    <w:p>
      <w:pPr>
        <w:spacing w:before="52" w:after="16"/>
        <w:jc w:val="right"/>
        <w:keepNext/>
        <w:bidi w:val="1"/>
      </w:pPr>
      <w:r>
        <w:rPr>
          <w:rFonts w:ascii="Arial" w:hAnsi="Arial" w:cs="Arial"/>
          <w:b/>
          <w:i w:val="0"/>
          <w:color w:val="1F4E79"/>
          <w:sz w:val="24"/>
        </w:rPr>
        <w:t>كلمات تحفظ في القلب</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«اسمع يا إسرائيل: الرب إلهنا رب واحد. فتحب الرب إلهك من كل قلبك ومن كل نفسك ومن كل قوتك. ولتكن هذه الكلمات التي أنا أوصيك بها اليوم على قلبك، وقصها على أولادك، وتكلم بها حين تجلس في بيتك وحين تمشي في الطريق وحين تنام وحين تقوم.»</w:t>
            </w:r>
          </w:p>
          <w:p>
            <w:pPr>
              <w:spacing w:after="0"/>
              <w:jc w:val="right"/>
              <w:bidi w:val="1"/>
            </w:pPr>
            <w:r>
              <w:rPr>
                <w:rFonts w:ascii="Arial" w:hAnsi="Arial" w:cs="Arial"/>
                <w:b/>
                <w:i w:val="0"/>
                <w:color w:val="333333"/>
                <w:sz w:val="17"/>
              </w:rPr>
              <w:t>التثنية 6:4-7  •  King James Version</w:t>
            </w:r>
          </w:p>
        </w:tc>
      </w:tr>
    </w:tbl>
    <w:p>
      <w:pPr>
        <w:spacing w:before="52" w:after="16"/>
        <w:jc w:val="right"/>
        <w:keepNext/>
        <w:bidi w:val="1"/>
      </w:pPr>
      <w:r>
        <w:rPr>
          <w:rFonts w:ascii="Arial" w:hAnsi="Arial" w:cs="Arial"/>
          <w:b/>
          <w:i w:val="0"/>
          <w:color w:val="1F4E79"/>
          <w:sz w:val="24"/>
        </w:rPr>
        <w:t>خبرة إسرائيل — وخبرتنا</w:t>
      </w:r>
    </w:p>
    <w:p>
      <w:pPr>
        <w:spacing w:after="22" w:line="226" w:lineRule="auto"/>
        <w:jc w:val="right"/>
        <w:bidi w:val="1"/>
      </w:pPr>
      <w:r>
        <w:rPr>
          <w:rFonts w:ascii="Arial" w:hAnsi="Arial" w:cs="Arial"/>
          <w:b w:val="0"/>
          <w:i w:val="0"/>
          <w:sz w:val="19"/>
        </w:rPr>
        <w:t>يستخدم العهد الجديد خبرة إسرائيل في البرية مراراً كتحذير وتشجيع للتلاميذ. التفاصيل ليست متماثلة، لكن النمط مفيد: الله ينقذ ويدعو ويعلم ويطلب طاعة أمينة.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إسرائيل</w:t>
            </w:r>
          </w:p>
        </w:tc>
        <w:tc>
          <w:tcPr>
            <w:tcW w:type="dxa" w:w="5090"/>
            <w:shd w:fill="D9EAF7"/>
          </w:tcPr>
          <w:p>
            <w:pPr>
              <w:jc w:val="center"/>
              <w:keepNext/>
              <w:bidi w:val="1"/>
            </w:pPr>
            <w:r>
              <w:rPr>
                <w:rFonts w:ascii="Arial" w:hAnsi="Arial" w:cs="Arial"/>
                <w:b/>
                <w:i w:val="0"/>
                <w:color w:val="1F4E79"/>
                <w:sz w:val="15"/>
              </w:rPr>
              <w:t>تلاميذ يسوع اليوم</w:t>
            </w:r>
          </w:p>
        </w:tc>
      </w:tr>
      <w:tr>
        <w:trPr>
          <w:cantSplit/>
        </w:trPr>
        <w:tc>
          <w:tcPr>
            <w:tcW w:type="dxa" w:w="5090"/>
          </w:tcPr>
          <w:p>
            <w:pPr>
              <w:spacing w:after="0" w:line="216" w:lineRule="auto"/>
              <w:jc w:val="right"/>
              <w:bidi w:val="1"/>
            </w:pPr>
            <w:r>
              <w:rPr>
                <w:rFonts w:ascii="Arial" w:hAnsi="Arial" w:cs="Arial"/>
                <w:b w:val="0"/>
                <w:i w:val="0"/>
                <w:sz w:val="15"/>
              </w:rPr>
              <w:t>كان إسرائيل مستعبداً في مصر.</w:t>
            </w:r>
          </w:p>
        </w:tc>
        <w:tc>
          <w:tcPr>
            <w:tcW w:type="dxa" w:w="5090"/>
          </w:tcPr>
          <w:p>
            <w:pPr>
              <w:spacing w:after="0" w:line="216" w:lineRule="auto"/>
              <w:jc w:val="right"/>
              <w:bidi w:val="1"/>
            </w:pPr>
            <w:r>
              <w:rPr>
                <w:rFonts w:ascii="Arial" w:hAnsi="Arial" w:cs="Arial"/>
                <w:b w:val="0"/>
                <w:i w:val="0"/>
                <w:sz w:val="15"/>
              </w:rPr>
              <w:t>قبل المعمودية نكون مستعبدين للخطية (رومية 6:16-18).</w:t>
            </w:r>
          </w:p>
        </w:tc>
      </w:tr>
      <w:tr>
        <w:trPr>
          <w:cantSplit/>
        </w:trPr>
        <w:tc>
          <w:tcPr>
            <w:tcW w:type="dxa" w:w="5090"/>
          </w:tcPr>
          <w:p>
            <w:pPr>
              <w:spacing w:after="0" w:line="216" w:lineRule="auto"/>
              <w:jc w:val="right"/>
              <w:bidi w:val="1"/>
            </w:pPr>
            <w:r>
              <w:rPr>
                <w:rFonts w:ascii="Arial" w:hAnsi="Arial" w:cs="Arial"/>
                <w:b w:val="0"/>
                <w:i w:val="0"/>
                <w:sz w:val="15"/>
              </w:rPr>
              <w:t>وفر الله الخلاص بالفصح.</w:t>
            </w:r>
          </w:p>
        </w:tc>
        <w:tc>
          <w:tcPr>
            <w:tcW w:type="dxa" w:w="5090"/>
          </w:tcPr>
          <w:p>
            <w:pPr>
              <w:spacing w:after="0" w:line="216" w:lineRule="auto"/>
              <w:jc w:val="right"/>
              <w:bidi w:val="1"/>
            </w:pPr>
            <w:r>
              <w:rPr>
                <w:rFonts w:ascii="Arial" w:hAnsi="Arial" w:cs="Arial"/>
                <w:b w:val="0"/>
                <w:i w:val="0"/>
                <w:sz w:val="15"/>
              </w:rPr>
              <w:t>وفر الله الخلاص خلال الرب يسوع؛ ويسمي بولس المسيح «فصحنا» (كورنثوس الأولى 5:7).</w:t>
            </w:r>
          </w:p>
        </w:tc>
      </w:tr>
      <w:tr>
        <w:trPr>
          <w:cantSplit/>
        </w:trPr>
        <w:tc>
          <w:tcPr>
            <w:tcW w:type="dxa" w:w="5090"/>
          </w:tcPr>
          <w:p>
            <w:pPr>
              <w:spacing w:after="0" w:line="216" w:lineRule="auto"/>
              <w:jc w:val="right"/>
              <w:bidi w:val="1"/>
            </w:pPr>
            <w:r>
              <w:rPr>
                <w:rFonts w:ascii="Arial" w:hAnsi="Arial" w:cs="Arial"/>
                <w:b w:val="0"/>
                <w:i w:val="0"/>
                <w:sz w:val="15"/>
              </w:rPr>
              <w:t>ترك إسرائيل مصر وراءه.</w:t>
            </w:r>
          </w:p>
        </w:tc>
        <w:tc>
          <w:tcPr>
            <w:tcW w:type="dxa" w:w="5090"/>
          </w:tcPr>
          <w:p>
            <w:pPr>
              <w:spacing w:after="0" w:line="216" w:lineRule="auto"/>
              <w:jc w:val="right"/>
              <w:bidi w:val="1"/>
            </w:pPr>
            <w:r>
              <w:rPr>
                <w:rFonts w:ascii="Arial" w:hAnsi="Arial" w:cs="Arial"/>
                <w:b w:val="0"/>
                <w:i w:val="0"/>
                <w:sz w:val="15"/>
              </w:rPr>
              <w:t>يرجع التلميذ عن طريق الحياة القديمة ويبدأ حياة جديدة.</w:t>
            </w:r>
          </w:p>
        </w:tc>
      </w:tr>
      <w:tr>
        <w:trPr>
          <w:cantSplit/>
        </w:trPr>
        <w:tc>
          <w:tcPr>
            <w:tcW w:type="dxa" w:w="5090"/>
          </w:tcPr>
          <w:p>
            <w:pPr>
              <w:spacing w:after="0" w:line="216" w:lineRule="auto"/>
              <w:jc w:val="right"/>
              <w:bidi w:val="1"/>
            </w:pPr>
            <w:r>
              <w:rPr>
                <w:rFonts w:ascii="Arial" w:hAnsi="Arial" w:cs="Arial"/>
                <w:b w:val="0"/>
                <w:i w:val="0"/>
                <w:sz w:val="15"/>
              </w:rPr>
              <w:t>عبر إسرائيل البحر.</w:t>
            </w:r>
          </w:p>
        </w:tc>
        <w:tc>
          <w:tcPr>
            <w:tcW w:type="dxa" w:w="5090"/>
          </w:tcPr>
          <w:p>
            <w:pPr>
              <w:spacing w:after="0" w:line="216" w:lineRule="auto"/>
              <w:jc w:val="right"/>
              <w:bidi w:val="1"/>
            </w:pPr>
            <w:r>
              <w:rPr>
                <w:rFonts w:ascii="Arial" w:hAnsi="Arial" w:cs="Arial"/>
                <w:b w:val="0"/>
                <w:i w:val="0"/>
                <w:sz w:val="15"/>
              </w:rPr>
              <w:t>يُعتمد المؤمنون إلى المسيح ويبدأون علاقة جديدة مع الله.</w:t>
            </w:r>
          </w:p>
        </w:tc>
      </w:tr>
      <w:tr>
        <w:trPr>
          <w:cantSplit/>
        </w:trPr>
        <w:tc>
          <w:tcPr>
            <w:tcW w:type="dxa" w:w="5090"/>
          </w:tcPr>
          <w:p>
            <w:pPr>
              <w:spacing w:after="0" w:line="216" w:lineRule="auto"/>
              <w:jc w:val="right"/>
              <w:bidi w:val="1"/>
            </w:pPr>
            <w:r>
              <w:rPr>
                <w:rFonts w:ascii="Arial" w:hAnsi="Arial" w:cs="Arial"/>
                <w:b w:val="0"/>
                <w:i w:val="0"/>
                <w:sz w:val="15"/>
              </w:rPr>
              <w:t>تلقى إسرائيل وصايا الله.</w:t>
            </w:r>
          </w:p>
        </w:tc>
        <w:tc>
          <w:tcPr>
            <w:tcW w:type="dxa" w:w="5090"/>
          </w:tcPr>
          <w:p>
            <w:pPr>
              <w:spacing w:after="0" w:line="216" w:lineRule="auto"/>
              <w:jc w:val="right"/>
              <w:bidi w:val="1"/>
            </w:pPr>
            <w:r>
              <w:rPr>
                <w:rFonts w:ascii="Arial" w:hAnsi="Arial" w:cs="Arial"/>
                <w:b w:val="0"/>
                <w:i w:val="0"/>
                <w:sz w:val="15"/>
              </w:rPr>
              <w:t>نتلقى كلمة الله لتعلمنا وتصححنا وترشدنا.</w:t>
            </w:r>
          </w:p>
        </w:tc>
      </w:tr>
      <w:tr>
        <w:trPr>
          <w:cantSplit/>
        </w:trPr>
        <w:tc>
          <w:tcPr>
            <w:tcW w:type="dxa" w:w="5090"/>
          </w:tcPr>
          <w:p>
            <w:pPr>
              <w:spacing w:after="0" w:line="216" w:lineRule="auto"/>
              <w:jc w:val="right"/>
              <w:bidi w:val="1"/>
            </w:pPr>
            <w:r>
              <w:rPr>
                <w:rFonts w:ascii="Arial" w:hAnsi="Arial" w:cs="Arial"/>
                <w:b w:val="0"/>
                <w:i w:val="0"/>
                <w:sz w:val="15"/>
              </w:rPr>
              <w:t>كان على إسرائيل أن يثق ويطيع في الرحلة.</w:t>
            </w:r>
          </w:p>
        </w:tc>
        <w:tc>
          <w:tcPr>
            <w:tcW w:type="dxa" w:w="5090"/>
          </w:tcPr>
          <w:p>
            <w:pPr>
              <w:spacing w:after="0" w:line="216" w:lineRule="auto"/>
              <w:jc w:val="right"/>
              <w:bidi w:val="1"/>
            </w:pPr>
            <w:r>
              <w:rPr>
                <w:rFonts w:ascii="Arial" w:hAnsi="Arial" w:cs="Arial"/>
                <w:b w:val="0"/>
                <w:i w:val="0"/>
                <w:sz w:val="15"/>
              </w:rPr>
              <w:t>ينبغي لنا أن نستمر في الإيمان والطاعة ونحن نتطلع إلى مملكة الله.</w:t>
            </w:r>
          </w:p>
        </w:tc>
      </w:tr>
    </w:tbl>
    <w:p>
      <w:pPr>
        <w:spacing w:before="52" w:after="16"/>
        <w:jc w:val="right"/>
        <w:keepNext/>
        <w:bidi w:val="1"/>
      </w:pPr>
      <w:r>
        <w:rPr>
          <w:rFonts w:ascii="Arial" w:hAnsi="Arial" w:cs="Arial"/>
          <w:b/>
          <w:i w:val="0"/>
          <w:color w:val="1F4E79"/>
          <w:sz w:val="24"/>
        </w:rPr>
        <w:t>ماذا يعني لك الكتاب؟</w:t>
      </w:r>
    </w:p>
    <w:p>
      <w:pPr>
        <w:spacing w:after="22" w:line="226" w:lineRule="auto"/>
        <w:jc w:val="right"/>
        <w:bidi w:val="1"/>
      </w:pPr>
      <w:r>
        <w:rPr>
          <w:rFonts w:ascii="Arial" w:hAnsi="Arial" w:cs="Arial"/>
          <w:b w:val="0"/>
          <w:i w:val="0"/>
          <w:sz w:val="19"/>
        </w:rPr>
        <w:t>السؤال ليس فقط هل نملك كتاباً، بل هل كلمة الله تشكل تفكيرنا وسلوكنا. تستحق الأسئلة الآتية جواباً خاصاً وصادقاً:</w:t>
      </w:r>
    </w:p>
    <w:p>
      <w:pPr>
        <w:spacing w:after="22" w:line="226" w:lineRule="auto"/>
        <w:jc w:val="right"/>
        <w:bidi w:val="1"/>
      </w:pPr>
      <w:r>
        <w:rPr>
          <w:rFonts w:ascii="Arial" w:hAnsi="Arial" w:cs="Arial"/>
          <w:b w:val="0"/>
          <w:i w:val="0"/>
          <w:sz w:val="19"/>
        </w:rPr>
        <w:t>هل أخصص وقتاً لقراءة الكتاب بانتظام، بما في ذلك المقاطع التي أجدها صعبة؟ وهل أعرف كيف أجد مواضع الكتاب وأفهم كيف ترتبط أسفاره؟ وهل أستطيع شرح معتقداتي من الكتاب بدلاً من تكرار كلام شخص آخر؟ وهل أتذكر مواضع مهمة تساعدني في التجربة أو الصعوبة؟ وهل تغير قراءتي بالفعل طريقة كلامي واختياراتي وعملي وعبادتي ومعاملتي للناس؟</w:t>
      </w:r>
    </w:p>
    <w:p>
      <w:pPr>
        <w:spacing w:before="52" w:after="16"/>
        <w:jc w:val="right"/>
        <w:keepNext/>
        <w:bidi w:val="1"/>
      </w:pPr>
      <w:r>
        <w:rPr>
          <w:rFonts w:ascii="Arial" w:hAnsi="Arial" w:cs="Arial"/>
          <w:b/>
          <w:i w:val="0"/>
          <w:color w:val="1F4E79"/>
          <w:sz w:val="24"/>
        </w:rPr>
        <w:t>لماذا قد يكون الكتاب صعباً؟</w:t>
      </w:r>
    </w:p>
    <w:p>
      <w:pPr>
        <w:spacing w:after="22" w:line="226" w:lineRule="auto"/>
        <w:jc w:val="right"/>
        <w:bidi w:val="1"/>
      </w:pPr>
      <w:r>
        <w:rPr>
          <w:rFonts w:ascii="Arial" w:hAnsi="Arial" w:cs="Arial"/>
          <w:b w:val="0"/>
          <w:i w:val="0"/>
          <w:sz w:val="19"/>
        </w:rPr>
        <w:t>بعض المواضع واضح فوراً، وأخرى تحتاج إلى صبر وسياق ومقارنة دقيقة ببقية الكتاب. ولا ينبغي أن نتوقع أن تكون أفكار الله مطابقة لطريقتنا الطبيعية في التفكير.</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 أفكاري ليست أفكاركم ولا طرقكم طرقي، يقول الرب. لأنه كما علت السماوات عن الأرض هكذا علت طرقي عن طرقكم وأفكاري عن أفكاركم.»</w:t>
            </w:r>
          </w:p>
          <w:p>
            <w:pPr>
              <w:spacing w:after="0"/>
              <w:jc w:val="right"/>
              <w:bidi w:val="1"/>
            </w:pPr>
            <w:r>
              <w:rPr>
                <w:rFonts w:ascii="Arial" w:hAnsi="Arial" w:cs="Arial"/>
                <w:b/>
                <w:i w:val="0"/>
                <w:color w:val="333333"/>
                <w:sz w:val="17"/>
              </w:rPr>
              <w:t>إشعياء 55:8-9  •  King James Version</w:t>
            </w:r>
          </w:p>
        </w:tc>
      </w:tr>
    </w:tbl>
    <w:p>
      <w:pPr>
        <w:spacing w:after="22" w:line="226" w:lineRule="auto"/>
        <w:jc w:val="right"/>
        <w:bidi w:val="1"/>
      </w:pPr>
      <w:r>
        <w:rPr>
          <w:rFonts w:ascii="Arial" w:hAnsi="Arial" w:cs="Arial"/>
          <w:b w:val="0"/>
          <w:i w:val="0"/>
          <w:sz w:val="19"/>
        </w:rPr>
        <w:t>الصعوبة ليست سبباً للاستسلام، بل سبباً للقراءة بعناية أكبر، والصلاة للفهم، والبحث في الكتب.</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«مجد الله إخفاء الأمر، ومجد الملوك فحص الأمر.»</w:t>
            </w:r>
          </w:p>
          <w:p>
            <w:pPr>
              <w:spacing w:after="0"/>
              <w:jc w:val="right"/>
              <w:bidi w:val="1"/>
            </w:pPr>
            <w:r>
              <w:rPr>
                <w:rFonts w:ascii="Arial" w:hAnsi="Arial" w:cs="Arial"/>
                <w:b/>
                <w:i w:val="0"/>
                <w:color w:val="333333"/>
                <w:sz w:val="17"/>
              </w:rPr>
              <w:t>أمثال 25:2  •  King James Version</w:t>
            </w:r>
          </w:p>
        </w:tc>
      </w:tr>
    </w:tbl>
    <w:p>
      <w:pPr>
        <w:spacing w:before="52" w:after="16"/>
        <w:jc w:val="right"/>
        <w:keepNext/>
        <w:bidi w:val="1"/>
      </w:pPr>
      <w:r>
        <w:rPr>
          <w:rFonts w:ascii="Arial" w:hAnsi="Arial" w:cs="Arial"/>
          <w:b/>
          <w:i w:val="0"/>
          <w:color w:val="1F4E79"/>
          <w:sz w:val="24"/>
        </w:rPr>
        <w:t>كلمة الله الموحى بها</w:t>
      </w:r>
    </w:p>
    <w:p>
      <w:pPr>
        <w:spacing w:after="22" w:line="226" w:lineRule="auto"/>
        <w:jc w:val="right"/>
        <w:bidi w:val="1"/>
      </w:pPr>
      <w:r>
        <w:rPr>
          <w:rFonts w:ascii="Arial" w:hAnsi="Arial" w:cs="Arial"/>
          <w:b w:val="0"/>
          <w:i w:val="0"/>
          <w:sz w:val="19"/>
        </w:rPr>
        <w:t>ذكّر بولس تيموثاوس بأن الكتاب شكل إيمانه منذ الطفولة، وينبغي أن يستمر في تشكيل حياته. وتستخدم نسخة الملك جيمس عبارة «موحى به من الله»: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«وأما أنت فاثبت على ما تعلمت وأيقنت، عارفاً ممن تعلمت. وأنك منذ الطفولية تعرف الكتب المقدسة القادرة أن تحكمك للخلاص بالإيمان الذي في المسيح يسوع. كل الكتاب هو موحى به من الله ونافع للتعليم والتوبيخ والتقويم والتأديب الذي في البر، لكي يكون إنسان الله كاملاً متأهباً لكل عمل صالح.»</w:t>
            </w:r>
          </w:p>
          <w:p>
            <w:pPr>
              <w:spacing w:after="0"/>
              <w:jc w:val="right"/>
              <w:bidi w:val="1"/>
            </w:pPr>
            <w:r>
              <w:rPr>
                <w:rFonts w:ascii="Arial" w:hAnsi="Arial" w:cs="Arial"/>
                <w:b/>
                <w:i w:val="0"/>
                <w:color w:val="333333"/>
                <w:sz w:val="17"/>
              </w:rPr>
              <w:t>تيموثاوس الثانية 3:14-17  •  King James Version</w:t>
            </w:r>
          </w:p>
        </w:tc>
      </w:tr>
    </w:tbl>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«الوحي»</w:t>
            </w:r>
          </w:p>
          <w:p>
            <w:pPr>
              <w:spacing w:after="0" w:line="221" w:lineRule="auto"/>
              <w:jc w:val="right"/>
              <w:bidi w:val="1"/>
            </w:pPr>
            <w:r>
              <w:rPr>
                <w:rFonts w:ascii="Arial" w:hAnsi="Arial" w:cs="Arial"/>
                <w:b w:val="0"/>
                <w:i w:val="0"/>
                <w:sz w:val="18"/>
              </w:rPr>
              <w:t>يقدم الكتاب الأسفار المقدسة على أنها جاءت من الله من خلال كتّاب بشريين. ولهذا يقترب منها التلاميذ بتوقير، مع قراءة كل موضع أيضاً في سياقه التاريخي والأدبي.</w:t>
            </w:r>
          </w:p>
        </w:tc>
      </w:tr>
    </w:tbl>
    <w:p>
      <w:pPr>
        <w:spacing w:before="52" w:after="16"/>
        <w:jc w:val="right"/>
        <w:keepNext/>
        <w:bidi w:val="1"/>
      </w:pPr>
      <w:r>
        <w:rPr>
          <w:rFonts w:ascii="Arial" w:hAnsi="Arial" w:cs="Arial"/>
          <w:b/>
          <w:i w:val="0"/>
          <w:color w:val="1F4E79"/>
          <w:sz w:val="24"/>
        </w:rPr>
        <w:t>لماذا نقرأ الكتاب كله؟</w:t>
      </w:r>
    </w:p>
    <w:p>
      <w:pPr>
        <w:spacing w:after="22" w:line="226" w:lineRule="auto"/>
        <w:jc w:val="right"/>
        <w:bidi w:val="1"/>
      </w:pPr>
      <w:r>
        <w:rPr>
          <w:rFonts w:ascii="Arial" w:hAnsi="Arial" w:cs="Arial"/>
          <w:b w:val="0"/>
          <w:i w:val="0"/>
          <w:sz w:val="19"/>
        </w:rPr>
        <w:t>العهدان القديم والجديد ينتميان معاً. الوعود والتاريخ والشعر والأنبياء في العهد القديم يوفرون خلفية الإنجيل، والعهد الجديد يبين كيف يتمركز قصد الله في الرب يسوع المسيح.</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ما تفعله الأسفار</w:t>
            </w:r>
          </w:p>
        </w:tc>
        <w:tc>
          <w:tcPr>
            <w:tcW w:type="dxa" w:w="5090"/>
            <w:shd w:fill="D9EAF7"/>
          </w:tcPr>
          <w:p>
            <w:pPr>
              <w:jc w:val="center"/>
              <w:keepNext/>
              <w:bidi w:val="1"/>
            </w:pPr>
            <w:r>
              <w:rPr>
                <w:rFonts w:ascii="Arial" w:hAnsi="Arial" w:cs="Arial"/>
                <w:b/>
                <w:i w:val="0"/>
                <w:color w:val="1F4E79"/>
                <w:sz w:val="15"/>
              </w:rPr>
              <w:t>أمثلة</w:t>
            </w:r>
          </w:p>
        </w:tc>
      </w:tr>
      <w:tr>
        <w:trPr>
          <w:cantSplit/>
        </w:trPr>
        <w:tc>
          <w:tcPr>
            <w:tcW w:type="dxa" w:w="5090"/>
          </w:tcPr>
          <w:p>
            <w:pPr>
              <w:spacing w:after="0" w:line="216" w:lineRule="auto"/>
              <w:jc w:val="right"/>
              <w:bidi w:val="1"/>
            </w:pPr>
            <w:r>
              <w:rPr>
                <w:rFonts w:ascii="Arial" w:hAnsi="Arial" w:cs="Arial"/>
                <w:b w:val="0"/>
                <w:i w:val="0"/>
                <w:sz w:val="15"/>
              </w:rPr>
              <w:t>تفحص دوافعنا وأفكارنا.</w:t>
            </w:r>
          </w:p>
        </w:tc>
        <w:tc>
          <w:tcPr>
            <w:tcW w:type="dxa" w:w="5090"/>
          </w:tcPr>
          <w:p>
            <w:pPr>
              <w:spacing w:after="0" w:line="216" w:lineRule="auto"/>
              <w:jc w:val="right"/>
              <w:bidi w:val="1"/>
            </w:pPr>
            <w:r>
              <w:rPr>
                <w:rFonts w:ascii="Arial" w:hAnsi="Arial" w:cs="Arial"/>
                <w:b w:val="0"/>
                <w:i w:val="0"/>
                <w:sz w:val="15"/>
              </w:rPr>
              <w:t>العبرانيين 4:12</w:t>
            </w:r>
          </w:p>
        </w:tc>
      </w:tr>
      <w:tr>
        <w:trPr>
          <w:cantSplit/>
        </w:trPr>
        <w:tc>
          <w:tcPr>
            <w:tcW w:type="dxa" w:w="5090"/>
          </w:tcPr>
          <w:p>
            <w:pPr>
              <w:spacing w:after="0" w:line="216" w:lineRule="auto"/>
              <w:jc w:val="right"/>
              <w:bidi w:val="1"/>
            </w:pPr>
            <w:r>
              <w:rPr>
                <w:rFonts w:ascii="Arial" w:hAnsi="Arial" w:cs="Arial"/>
                <w:b w:val="0"/>
                <w:i w:val="0"/>
                <w:sz w:val="15"/>
              </w:rPr>
              <w:t>تساعدنا على مقاومة الخطية بحفظ كلمة الله في القلب.</w:t>
            </w:r>
          </w:p>
        </w:tc>
        <w:tc>
          <w:tcPr>
            <w:tcW w:type="dxa" w:w="5090"/>
          </w:tcPr>
          <w:p>
            <w:pPr>
              <w:spacing w:after="0" w:line="216" w:lineRule="auto"/>
              <w:jc w:val="right"/>
              <w:bidi w:val="1"/>
            </w:pPr>
            <w:r>
              <w:rPr>
                <w:rFonts w:ascii="Arial" w:hAnsi="Arial" w:cs="Arial"/>
                <w:b w:val="0"/>
                <w:i w:val="0"/>
                <w:sz w:val="15"/>
              </w:rPr>
              <w:t>مزمور 119:9-11</w:t>
            </w:r>
          </w:p>
        </w:tc>
      </w:tr>
      <w:tr>
        <w:trPr>
          <w:cantSplit/>
        </w:trPr>
        <w:tc>
          <w:tcPr>
            <w:tcW w:type="dxa" w:w="5090"/>
          </w:tcPr>
          <w:p>
            <w:pPr>
              <w:spacing w:after="0" w:line="216" w:lineRule="auto"/>
              <w:jc w:val="right"/>
              <w:bidi w:val="1"/>
            </w:pPr>
            <w:r>
              <w:rPr>
                <w:rFonts w:ascii="Arial" w:hAnsi="Arial" w:cs="Arial"/>
                <w:b w:val="0"/>
                <w:i w:val="0"/>
                <w:sz w:val="15"/>
              </w:rPr>
              <w:t>تبني المؤمنين وتقويهم.</w:t>
            </w:r>
          </w:p>
        </w:tc>
        <w:tc>
          <w:tcPr>
            <w:tcW w:type="dxa" w:w="5090"/>
          </w:tcPr>
          <w:p>
            <w:pPr>
              <w:spacing w:after="0" w:line="216" w:lineRule="auto"/>
              <w:jc w:val="right"/>
              <w:bidi w:val="1"/>
            </w:pPr>
            <w:r>
              <w:rPr>
                <w:rFonts w:ascii="Arial" w:hAnsi="Arial" w:cs="Arial"/>
                <w:b w:val="0"/>
                <w:i w:val="0"/>
                <w:sz w:val="15"/>
              </w:rPr>
              <w:t>أعمال 20:32؛ بطرس الأولى 2:2</w:t>
            </w:r>
          </w:p>
        </w:tc>
      </w:tr>
      <w:tr>
        <w:trPr>
          <w:cantSplit/>
        </w:trPr>
        <w:tc>
          <w:tcPr>
            <w:tcW w:type="dxa" w:w="5090"/>
          </w:tcPr>
          <w:p>
            <w:pPr>
              <w:spacing w:after="0" w:line="216" w:lineRule="auto"/>
              <w:jc w:val="right"/>
              <w:bidi w:val="1"/>
            </w:pPr>
            <w:r>
              <w:rPr>
                <w:rFonts w:ascii="Arial" w:hAnsi="Arial" w:cs="Arial"/>
                <w:b w:val="0"/>
                <w:i w:val="0"/>
                <w:sz w:val="15"/>
              </w:rPr>
              <w:t>تصحح وتعلم.</w:t>
            </w:r>
          </w:p>
        </w:tc>
        <w:tc>
          <w:tcPr>
            <w:tcW w:type="dxa" w:w="5090"/>
          </w:tcPr>
          <w:p>
            <w:pPr>
              <w:spacing w:after="0" w:line="216" w:lineRule="auto"/>
              <w:jc w:val="right"/>
              <w:bidi w:val="1"/>
            </w:pPr>
            <w:r>
              <w:rPr>
                <w:rFonts w:ascii="Arial" w:hAnsi="Arial" w:cs="Arial"/>
                <w:b w:val="0"/>
                <w:i w:val="0"/>
                <w:sz w:val="15"/>
              </w:rPr>
              <w:t>تيموثاوس الثانية 3:16-17</w:t>
            </w:r>
          </w:p>
        </w:tc>
      </w:tr>
      <w:tr>
        <w:trPr>
          <w:cantSplit/>
        </w:trPr>
        <w:tc>
          <w:tcPr>
            <w:tcW w:type="dxa" w:w="5090"/>
          </w:tcPr>
          <w:p>
            <w:pPr>
              <w:spacing w:after="0" w:line="216" w:lineRule="auto"/>
              <w:jc w:val="right"/>
              <w:bidi w:val="1"/>
            </w:pPr>
            <w:r>
              <w:rPr>
                <w:rFonts w:ascii="Arial" w:hAnsi="Arial" w:cs="Arial"/>
                <w:b w:val="0"/>
                <w:i w:val="0"/>
                <w:sz w:val="15"/>
              </w:rPr>
              <w:t>تقدس — تفرز التلاميذ في الحق.</w:t>
            </w:r>
          </w:p>
        </w:tc>
        <w:tc>
          <w:tcPr>
            <w:tcW w:type="dxa" w:w="5090"/>
          </w:tcPr>
          <w:p>
            <w:pPr>
              <w:spacing w:after="0" w:line="216" w:lineRule="auto"/>
              <w:jc w:val="right"/>
              <w:bidi w:val="1"/>
            </w:pPr>
            <w:r>
              <w:rPr>
                <w:rFonts w:ascii="Arial" w:hAnsi="Arial" w:cs="Arial"/>
                <w:b w:val="0"/>
                <w:i w:val="0"/>
                <w:sz w:val="15"/>
              </w:rPr>
              <w:t>يوحنا 17:17</w:t>
            </w:r>
          </w:p>
        </w:tc>
      </w:tr>
      <w:tr>
        <w:trPr>
          <w:cantSplit/>
        </w:trPr>
        <w:tc>
          <w:tcPr>
            <w:tcW w:type="dxa" w:w="5090"/>
          </w:tcPr>
          <w:p>
            <w:pPr>
              <w:spacing w:after="0" w:line="216" w:lineRule="auto"/>
              <w:jc w:val="right"/>
              <w:bidi w:val="1"/>
            </w:pPr>
            <w:r>
              <w:rPr>
                <w:rFonts w:ascii="Arial" w:hAnsi="Arial" w:cs="Arial"/>
                <w:b w:val="0"/>
                <w:i w:val="0"/>
                <w:sz w:val="15"/>
              </w:rPr>
              <w:t>تقوي الإيمان.</w:t>
            </w:r>
          </w:p>
        </w:tc>
        <w:tc>
          <w:tcPr>
            <w:tcW w:type="dxa" w:w="5090"/>
          </w:tcPr>
          <w:p>
            <w:pPr>
              <w:spacing w:after="0" w:line="216" w:lineRule="auto"/>
              <w:jc w:val="right"/>
              <w:bidi w:val="1"/>
            </w:pPr>
            <w:r>
              <w:rPr>
                <w:rFonts w:ascii="Arial" w:hAnsi="Arial" w:cs="Arial"/>
                <w:b w:val="0"/>
                <w:i w:val="0"/>
                <w:sz w:val="15"/>
              </w:rPr>
              <w:t>رومية 10:17</w:t>
            </w:r>
          </w:p>
        </w:tc>
      </w:tr>
      <w:tr>
        <w:trPr>
          <w:cantSplit/>
        </w:trPr>
        <w:tc>
          <w:tcPr>
            <w:tcW w:type="dxa" w:w="5090"/>
          </w:tcPr>
          <w:p>
            <w:pPr>
              <w:spacing w:after="0" w:line="216" w:lineRule="auto"/>
              <w:jc w:val="right"/>
              <w:bidi w:val="1"/>
            </w:pPr>
            <w:r>
              <w:rPr>
                <w:rFonts w:ascii="Arial" w:hAnsi="Arial" w:cs="Arial"/>
                <w:b w:val="0"/>
                <w:i w:val="0"/>
                <w:sz w:val="15"/>
              </w:rPr>
              <w:t>تعطي الصبر والتعزية والرجاء.</w:t>
            </w:r>
          </w:p>
        </w:tc>
        <w:tc>
          <w:tcPr>
            <w:tcW w:type="dxa" w:w="5090"/>
          </w:tcPr>
          <w:p>
            <w:pPr>
              <w:spacing w:after="0" w:line="216" w:lineRule="auto"/>
              <w:jc w:val="right"/>
              <w:bidi w:val="1"/>
            </w:pPr>
            <w:r>
              <w:rPr>
                <w:rFonts w:ascii="Arial" w:hAnsi="Arial" w:cs="Arial"/>
                <w:b w:val="0"/>
                <w:i w:val="0"/>
                <w:sz w:val="15"/>
              </w:rPr>
              <w:t>رومية 15:4</w:t>
            </w:r>
          </w:p>
        </w:tc>
      </w:tr>
      <w:tr>
        <w:trPr>
          <w:cantSplit/>
        </w:trPr>
        <w:tc>
          <w:tcPr>
            <w:tcW w:type="dxa" w:w="5090"/>
          </w:tcPr>
          <w:p>
            <w:pPr>
              <w:spacing w:after="0" w:line="216" w:lineRule="auto"/>
              <w:jc w:val="right"/>
              <w:bidi w:val="1"/>
            </w:pPr>
            <w:r>
              <w:rPr>
                <w:rFonts w:ascii="Arial" w:hAnsi="Arial" w:cs="Arial"/>
                <w:b w:val="0"/>
                <w:i w:val="0"/>
                <w:sz w:val="15"/>
              </w:rPr>
              <w:t>تعلمنا قصد الله وابنه.</w:t>
            </w:r>
          </w:p>
        </w:tc>
        <w:tc>
          <w:tcPr>
            <w:tcW w:type="dxa" w:w="5090"/>
          </w:tcPr>
          <w:p>
            <w:pPr>
              <w:spacing w:after="0" w:line="216" w:lineRule="auto"/>
              <w:jc w:val="right"/>
              <w:bidi w:val="1"/>
            </w:pPr>
            <w:r>
              <w:rPr>
                <w:rFonts w:ascii="Arial" w:hAnsi="Arial" w:cs="Arial"/>
                <w:b w:val="0"/>
                <w:i w:val="0"/>
                <w:sz w:val="15"/>
              </w:rPr>
              <w:t>يوحنا 5:39؛ يوحنا 20:31</w:t>
            </w:r>
          </w:p>
        </w:tc>
      </w:tr>
    </w:tbl>
    <w:p>
      <w:pPr>
        <w:spacing w:before="52" w:after="16"/>
        <w:jc w:val="right"/>
        <w:keepNext/>
        <w:bidi w:val="1"/>
      </w:pPr>
      <w:r>
        <w:rPr>
          <w:rFonts w:ascii="Arial" w:hAnsi="Arial" w:cs="Arial"/>
          <w:b/>
          <w:i w:val="0"/>
          <w:color w:val="1F4E79"/>
          <w:sz w:val="24"/>
        </w:rPr>
        <w:t>غذاء روحي</w:t>
      </w:r>
    </w:p>
    <w:p>
      <w:pPr>
        <w:spacing w:after="22" w:line="226" w:lineRule="auto"/>
        <w:jc w:val="right"/>
        <w:bidi w:val="1"/>
      </w:pPr>
      <w:r>
        <w:rPr>
          <w:rFonts w:ascii="Arial" w:hAnsi="Arial" w:cs="Arial"/>
          <w:b w:val="0"/>
          <w:i w:val="0"/>
          <w:sz w:val="19"/>
        </w:rPr>
        <w:t>الجسد يحتاج إلى الطعام بانتظام. واستخدم يسوع الصورة نفسها لكلمة الله: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«ليس بالخبز وحده يحيا الإنسان، بل بكل كلمة تخرج من فم الله.»</w:t>
            </w:r>
          </w:p>
          <w:p>
            <w:pPr>
              <w:spacing w:after="0"/>
              <w:jc w:val="right"/>
              <w:bidi w:val="1"/>
            </w:pPr>
            <w:r>
              <w:rPr>
                <w:rFonts w:ascii="Arial" w:hAnsi="Arial" w:cs="Arial"/>
                <w:b/>
                <w:i w:val="0"/>
                <w:color w:val="333333"/>
                <w:sz w:val="17"/>
              </w:rPr>
              <w:t>متى 4:4  •  King James Version</w:t>
            </w:r>
          </w:p>
        </w:tc>
      </w:tr>
    </w:tbl>
    <w:p>
      <w:pPr>
        <w:spacing w:after="22" w:line="226" w:lineRule="auto"/>
        <w:jc w:val="right"/>
        <w:bidi w:val="1"/>
      </w:pPr>
      <w:r>
        <w:rPr>
          <w:rFonts w:ascii="Arial" w:hAnsi="Arial" w:cs="Arial"/>
          <w:b w:val="0"/>
          <w:i w:val="0"/>
          <w:sz w:val="19"/>
        </w:rPr>
        <w:t>القراءة اليومية لا تكسب الخلاص وليست طقساً آلياً. إنها تعطي كلمة الله وصولاً متكرراً إلى عقولنا حتى ينمو الإيمان والحكم والشخصية.</w:t>
      </w:r>
    </w:p>
    <w:p>
      <w:pPr>
        <w:spacing w:before="52" w:after="16"/>
        <w:jc w:val="right"/>
        <w:keepNext/>
        <w:bidi w:val="1"/>
      </w:pPr>
      <w:r>
        <w:rPr>
          <w:rFonts w:ascii="Arial" w:hAnsi="Arial" w:cs="Arial"/>
          <w:b/>
          <w:i w:val="0"/>
          <w:color w:val="1F4E79"/>
          <w:sz w:val="24"/>
        </w:rPr>
        <w:t>يسوع والكلمة</w:t>
      </w:r>
    </w:p>
    <w:p>
      <w:pPr>
        <w:spacing w:after="22" w:line="226" w:lineRule="auto"/>
        <w:jc w:val="right"/>
        <w:bidi w:val="1"/>
      </w:pPr>
      <w:r>
        <w:rPr>
          <w:rFonts w:ascii="Arial" w:hAnsi="Arial" w:cs="Arial"/>
          <w:b w:val="0"/>
          <w:i w:val="0"/>
          <w:sz w:val="19"/>
        </w:rPr>
        <w:t>يسوع هو المثال الأعلى لحياة تحكمها كلمة الله. يقول يوحنا إن «الكلمة صار جسداً» (يوحنا 1:14). وفي الفهم الكريستادلفي ظهر قصد الله وكلمته بصورة كاملة في الإنسان يسوع؛ فكلامه وسلوكه أعلنا أباه.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«لأني لم أتكلم من نفسي، لكن الآب الذي أرسلني هو أعطاني وصية: ماذا أقول وبماذا أتكلم. وأنا أعلم أن وصيته هي حياة أبدية. فما أتكلم أنا به فكما قال لي الآب هكذا أتكلم.»</w:t>
            </w:r>
          </w:p>
          <w:p>
            <w:pPr>
              <w:spacing w:after="0"/>
              <w:jc w:val="right"/>
              <w:bidi w:val="1"/>
            </w:pPr>
            <w:r>
              <w:rPr>
                <w:rFonts w:ascii="Arial" w:hAnsi="Arial" w:cs="Arial"/>
                <w:b/>
                <w:i w:val="0"/>
                <w:color w:val="333333"/>
                <w:sz w:val="17"/>
              </w:rPr>
              <w:t>يوحنا 12:49-50  •  King James Version</w:t>
            </w:r>
          </w:p>
        </w:tc>
      </w:tr>
    </w:tbl>
    <w:p>
      <w:pPr>
        <w:spacing w:before="52" w:after="16"/>
        <w:jc w:val="right"/>
        <w:keepNext/>
        <w:bidi w:val="1"/>
      </w:pPr>
      <w:r>
        <w:rPr>
          <w:rFonts w:ascii="Arial" w:hAnsi="Arial" w:cs="Arial"/>
          <w:b/>
          <w:i w:val="0"/>
          <w:color w:val="1F4E79"/>
          <w:sz w:val="24"/>
        </w:rPr>
        <w:t>القراءة يجب أن تصير عملاً</w:t>
      </w:r>
    </w:p>
    <w:p>
      <w:pPr>
        <w:spacing w:after="22" w:line="226" w:lineRule="auto"/>
        <w:jc w:val="right"/>
        <w:bidi w:val="1"/>
      </w:pPr>
      <w:r>
        <w:rPr>
          <w:rFonts w:ascii="Arial" w:hAnsi="Arial" w:cs="Arial"/>
          <w:b w:val="0"/>
          <w:i w:val="0"/>
          <w:sz w:val="19"/>
        </w:rPr>
        <w:t>المعرفة وحدها ليست الهدف. سمع إسرائيل وصايا الله لكنه أخفق مراراً في الحياة بها. والخطر نفسه موجود لنا. يعطي يعقوب الاختبار البسيط:</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«ولكن كونوا عاملين بالكلمة لا سامعين فقط خادعين نفوسكم.»</w:t>
            </w:r>
          </w:p>
          <w:p>
            <w:pPr>
              <w:spacing w:after="0"/>
              <w:jc w:val="right"/>
              <w:bidi w:val="1"/>
            </w:pPr>
            <w:r>
              <w:rPr>
                <w:rFonts w:ascii="Arial" w:hAnsi="Arial" w:cs="Arial"/>
                <w:b/>
                <w:i w:val="0"/>
                <w:color w:val="333333"/>
                <w:sz w:val="17"/>
              </w:rPr>
              <w:t>يعقوب 1:22  •  King James Version</w:t>
            </w:r>
          </w:p>
        </w:tc>
      </w:tr>
    </w:tbl>
    <w:p>
      <w:pPr>
        <w:spacing w:after="22" w:line="226" w:lineRule="auto"/>
        <w:jc w:val="right"/>
        <w:bidi w:val="1"/>
      </w:pPr>
      <w:r>
        <w:rPr>
          <w:rFonts w:ascii="Arial" w:hAnsi="Arial" w:cs="Arial"/>
          <w:b w:val="0"/>
          <w:i w:val="0"/>
          <w:sz w:val="19"/>
        </w:rPr>
        <w:t>سؤال مفيد بعد كل قراءة: «ماذا يعلمني هذا عن الله أو قصده أو الرب يسوع أو عن الطريقة التي ينبغي أن أعيش بها اليوم؟»</w:t>
      </w:r>
    </w:p>
    <w:p>
      <w:pPr>
        <w:spacing w:before="52" w:after="16"/>
        <w:jc w:val="right"/>
        <w:keepNext/>
        <w:bidi w:val="1"/>
      </w:pPr>
      <w:r>
        <w:rPr>
          <w:rFonts w:ascii="Arial" w:hAnsi="Arial" w:cs="Arial"/>
          <w:b/>
          <w:i w:val="0"/>
          <w:color w:val="1F4E79"/>
          <w:sz w:val="24"/>
        </w:rPr>
        <w:t>نمط يومي عملي</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4"/>
              </w:rPr>
              <w:t>الخطوة</w:t>
            </w:r>
          </w:p>
        </w:tc>
        <w:tc>
          <w:tcPr>
            <w:tcW w:type="dxa" w:w="5090"/>
            <w:shd w:fill="D9EAF7"/>
          </w:tcPr>
          <w:p>
            <w:pPr>
              <w:jc w:val="center"/>
              <w:keepNext/>
              <w:bidi w:val="1"/>
            </w:pPr>
            <w:r>
              <w:rPr>
                <w:rFonts w:ascii="Arial" w:hAnsi="Arial" w:cs="Arial"/>
                <w:b/>
                <w:i w:val="0"/>
                <w:color w:val="1F4E79"/>
                <w:sz w:val="14"/>
              </w:rPr>
              <w:t>عادة نافعة</w:t>
            </w:r>
          </w:p>
        </w:tc>
      </w:tr>
      <w:tr>
        <w:trPr>
          <w:cantSplit/>
        </w:trPr>
        <w:tc>
          <w:tcPr>
            <w:tcW w:type="dxa" w:w="5090"/>
          </w:tcPr>
          <w:p>
            <w:pPr>
              <w:spacing w:after="0" w:line="216" w:lineRule="auto"/>
              <w:jc w:val="right"/>
              <w:bidi w:val="1"/>
            </w:pPr>
            <w:r>
              <w:rPr>
                <w:rFonts w:ascii="Arial" w:hAnsi="Arial" w:cs="Arial"/>
                <w:b w:val="0"/>
                <w:i w:val="0"/>
                <w:sz w:val="14"/>
              </w:rPr>
              <w:t>1  صلِّ</w:t>
            </w:r>
          </w:p>
        </w:tc>
        <w:tc>
          <w:tcPr>
            <w:tcW w:type="dxa" w:w="5090"/>
          </w:tcPr>
          <w:p>
            <w:pPr>
              <w:spacing w:after="0" w:line="216" w:lineRule="auto"/>
              <w:jc w:val="right"/>
              <w:bidi w:val="1"/>
            </w:pPr>
            <w:r>
              <w:rPr>
                <w:rFonts w:ascii="Arial" w:hAnsi="Arial" w:cs="Arial"/>
                <w:b w:val="0"/>
                <w:i w:val="0"/>
                <w:sz w:val="14"/>
              </w:rPr>
              <w:t>اطلب من الله أن يساعدك على القراءة بتواضع وفهم ما أعلنه.</w:t>
            </w:r>
          </w:p>
        </w:tc>
      </w:tr>
      <w:tr>
        <w:trPr>
          <w:cantSplit/>
        </w:trPr>
        <w:tc>
          <w:tcPr>
            <w:tcW w:type="dxa" w:w="5090"/>
          </w:tcPr>
          <w:p>
            <w:pPr>
              <w:spacing w:after="0" w:line="216" w:lineRule="auto"/>
              <w:jc w:val="right"/>
              <w:bidi w:val="1"/>
            </w:pPr>
            <w:r>
              <w:rPr>
                <w:rFonts w:ascii="Arial" w:hAnsi="Arial" w:cs="Arial"/>
                <w:b w:val="0"/>
                <w:i w:val="0"/>
                <w:sz w:val="14"/>
              </w:rPr>
              <w:t>2  اقرأ</w:t>
            </w:r>
          </w:p>
        </w:tc>
        <w:tc>
          <w:tcPr>
            <w:tcW w:type="dxa" w:w="5090"/>
          </w:tcPr>
          <w:p>
            <w:pPr>
              <w:spacing w:after="0" w:line="216" w:lineRule="auto"/>
              <w:jc w:val="right"/>
              <w:bidi w:val="1"/>
            </w:pPr>
            <w:r>
              <w:rPr>
                <w:rFonts w:ascii="Arial" w:hAnsi="Arial" w:cs="Arial"/>
                <w:b w:val="0"/>
                <w:i w:val="0"/>
                <w:sz w:val="14"/>
              </w:rPr>
              <w:t>اقرأ المقطع بعناية بدلاً من الاستعجال لمجرد إنهاء الجدول.</w:t>
            </w:r>
          </w:p>
        </w:tc>
      </w:tr>
      <w:tr>
        <w:trPr>
          <w:cantSplit/>
        </w:trPr>
        <w:tc>
          <w:tcPr>
            <w:tcW w:type="dxa" w:w="5090"/>
          </w:tcPr>
          <w:p>
            <w:pPr>
              <w:spacing w:after="0" w:line="216" w:lineRule="auto"/>
              <w:jc w:val="right"/>
              <w:bidi w:val="1"/>
            </w:pPr>
            <w:r>
              <w:rPr>
                <w:rFonts w:ascii="Arial" w:hAnsi="Arial" w:cs="Arial"/>
                <w:b w:val="0"/>
                <w:i w:val="0"/>
                <w:sz w:val="14"/>
              </w:rPr>
              <w:t>3  افحص السياق</w:t>
            </w:r>
          </w:p>
        </w:tc>
        <w:tc>
          <w:tcPr>
            <w:tcW w:type="dxa" w:w="5090"/>
          </w:tcPr>
          <w:p>
            <w:pPr>
              <w:spacing w:after="0" w:line="216" w:lineRule="auto"/>
              <w:jc w:val="right"/>
              <w:bidi w:val="1"/>
            </w:pPr>
            <w:r>
              <w:rPr>
                <w:rFonts w:ascii="Arial" w:hAnsi="Arial" w:cs="Arial"/>
                <w:b w:val="0"/>
                <w:i w:val="0"/>
                <w:sz w:val="14"/>
              </w:rPr>
              <w:t>انظر إلى ما قبل النص وبعده، ومن يتكلم، ولماذا.</w:t>
            </w:r>
          </w:p>
        </w:tc>
      </w:tr>
      <w:tr>
        <w:trPr>
          <w:cantSplit/>
        </w:trPr>
        <w:tc>
          <w:tcPr>
            <w:tcW w:type="dxa" w:w="5090"/>
          </w:tcPr>
          <w:p>
            <w:pPr>
              <w:spacing w:after="0" w:line="216" w:lineRule="auto"/>
              <w:jc w:val="right"/>
              <w:bidi w:val="1"/>
            </w:pPr>
            <w:r>
              <w:rPr>
                <w:rFonts w:ascii="Arial" w:hAnsi="Arial" w:cs="Arial"/>
                <w:b w:val="0"/>
                <w:i w:val="0"/>
                <w:sz w:val="14"/>
              </w:rPr>
              <w:t>4  اسأل</w:t>
            </w:r>
          </w:p>
        </w:tc>
        <w:tc>
          <w:tcPr>
            <w:tcW w:type="dxa" w:w="5090"/>
          </w:tcPr>
          <w:p>
            <w:pPr>
              <w:spacing w:after="0" w:line="216" w:lineRule="auto"/>
              <w:jc w:val="right"/>
              <w:bidi w:val="1"/>
            </w:pPr>
            <w:r>
              <w:rPr>
                <w:rFonts w:ascii="Arial" w:hAnsi="Arial" w:cs="Arial"/>
                <w:b w:val="0"/>
                <w:i w:val="0"/>
                <w:sz w:val="14"/>
              </w:rPr>
              <w:t>دوّن الكلمات أو الأفكار أو المراجع التي لا تفهمها وابحث عنها.</w:t>
            </w:r>
          </w:p>
        </w:tc>
      </w:tr>
      <w:tr>
        <w:trPr>
          <w:cantSplit/>
        </w:trPr>
        <w:tc>
          <w:tcPr>
            <w:tcW w:type="dxa" w:w="5090"/>
          </w:tcPr>
          <w:p>
            <w:pPr>
              <w:spacing w:after="0" w:line="216" w:lineRule="auto"/>
              <w:jc w:val="right"/>
              <w:bidi w:val="1"/>
            </w:pPr>
            <w:r>
              <w:rPr>
                <w:rFonts w:ascii="Arial" w:hAnsi="Arial" w:cs="Arial"/>
                <w:b w:val="0"/>
                <w:i w:val="0"/>
                <w:sz w:val="14"/>
              </w:rPr>
              <w:t>5  قارن الكتاب</w:t>
            </w:r>
          </w:p>
        </w:tc>
        <w:tc>
          <w:tcPr>
            <w:tcW w:type="dxa" w:w="5090"/>
          </w:tcPr>
          <w:p>
            <w:pPr>
              <w:spacing w:after="0" w:line="216" w:lineRule="auto"/>
              <w:jc w:val="right"/>
              <w:bidi w:val="1"/>
            </w:pPr>
            <w:r>
              <w:rPr>
                <w:rFonts w:ascii="Arial" w:hAnsi="Arial" w:cs="Arial"/>
                <w:b w:val="0"/>
                <w:i w:val="0"/>
                <w:sz w:val="14"/>
              </w:rPr>
              <w:t>استخدم المراجع والمواضع المرتبطة، ودع الكتاب يشرح الكتاب.</w:t>
            </w:r>
          </w:p>
        </w:tc>
      </w:tr>
      <w:tr>
        <w:trPr>
          <w:cantSplit/>
        </w:trPr>
        <w:tc>
          <w:tcPr>
            <w:tcW w:type="dxa" w:w="5090"/>
          </w:tcPr>
          <w:p>
            <w:pPr>
              <w:spacing w:after="0" w:line="216" w:lineRule="auto"/>
              <w:jc w:val="right"/>
              <w:bidi w:val="1"/>
            </w:pPr>
            <w:r>
              <w:rPr>
                <w:rFonts w:ascii="Arial" w:hAnsi="Arial" w:cs="Arial"/>
                <w:b w:val="0"/>
                <w:i w:val="0"/>
                <w:sz w:val="14"/>
              </w:rPr>
              <w:t>6  تأمل</w:t>
            </w:r>
          </w:p>
        </w:tc>
        <w:tc>
          <w:tcPr>
            <w:tcW w:type="dxa" w:w="5090"/>
          </w:tcPr>
          <w:p>
            <w:pPr>
              <w:spacing w:after="0" w:line="216" w:lineRule="auto"/>
              <w:jc w:val="right"/>
              <w:bidi w:val="1"/>
            </w:pPr>
            <w:r>
              <w:rPr>
                <w:rFonts w:ascii="Arial" w:hAnsi="Arial" w:cs="Arial"/>
                <w:b w:val="0"/>
                <w:i w:val="0"/>
                <w:sz w:val="14"/>
              </w:rPr>
              <w:t>فكر في معنى المقطع ولماذا يهم.</w:t>
            </w:r>
          </w:p>
        </w:tc>
      </w:tr>
      <w:tr>
        <w:trPr>
          <w:cantSplit/>
        </w:trPr>
        <w:tc>
          <w:tcPr>
            <w:tcW w:type="dxa" w:w="5090"/>
          </w:tcPr>
          <w:p>
            <w:pPr>
              <w:spacing w:after="0" w:line="216" w:lineRule="auto"/>
              <w:jc w:val="right"/>
              <w:bidi w:val="1"/>
            </w:pPr>
            <w:r>
              <w:rPr>
                <w:rFonts w:ascii="Arial" w:hAnsi="Arial" w:cs="Arial"/>
                <w:b w:val="0"/>
                <w:i w:val="0"/>
                <w:sz w:val="14"/>
              </w:rPr>
              <w:t>7  طبّق</w:t>
            </w:r>
          </w:p>
        </w:tc>
        <w:tc>
          <w:tcPr>
            <w:tcW w:type="dxa" w:w="5090"/>
          </w:tcPr>
          <w:p>
            <w:pPr>
              <w:spacing w:after="0" w:line="216" w:lineRule="auto"/>
              <w:jc w:val="right"/>
              <w:bidi w:val="1"/>
            </w:pPr>
            <w:r>
              <w:rPr>
                <w:rFonts w:ascii="Arial" w:hAnsi="Arial" w:cs="Arial"/>
                <w:b w:val="0"/>
                <w:i w:val="0"/>
                <w:sz w:val="14"/>
              </w:rPr>
              <w:t>اختر درساً عملياً واحداً تتذكره في قرارات اليوم.</w:t>
            </w:r>
          </w:p>
        </w:tc>
      </w:tr>
      <w:tr>
        <w:trPr>
          <w:cantSplit/>
        </w:trPr>
        <w:tc>
          <w:tcPr>
            <w:tcW w:type="dxa" w:w="5090"/>
          </w:tcPr>
          <w:p>
            <w:pPr>
              <w:spacing w:after="0" w:line="216" w:lineRule="auto"/>
              <w:jc w:val="right"/>
              <w:bidi w:val="1"/>
            </w:pPr>
            <w:r>
              <w:rPr>
                <w:rFonts w:ascii="Arial" w:hAnsi="Arial" w:cs="Arial"/>
                <w:b w:val="0"/>
                <w:i w:val="0"/>
                <w:sz w:val="14"/>
              </w:rPr>
              <w:t>8  شارك</w:t>
            </w:r>
          </w:p>
        </w:tc>
        <w:tc>
          <w:tcPr>
            <w:tcW w:type="dxa" w:w="5090"/>
          </w:tcPr>
          <w:p>
            <w:pPr>
              <w:spacing w:after="0" w:line="216" w:lineRule="auto"/>
              <w:jc w:val="right"/>
              <w:bidi w:val="1"/>
            </w:pPr>
            <w:r>
              <w:rPr>
                <w:rFonts w:ascii="Arial" w:hAnsi="Arial" w:cs="Arial"/>
                <w:b w:val="0"/>
                <w:i w:val="0"/>
                <w:sz w:val="14"/>
              </w:rPr>
              <w:t>حيث يناسب، ناقش ما تعلمته مع أسرتك أو المؤمنين معك.</w:t>
            </w:r>
          </w:p>
        </w:tc>
      </w:tr>
    </w:tbl>
    <w:p>
      <w:pPr>
        <w:spacing w:before="52" w:after="16"/>
        <w:jc w:val="right"/>
        <w:keepNext/>
        <w:bidi w:val="1"/>
      </w:pPr>
      <w:r>
        <w:rPr>
          <w:rFonts w:ascii="Arial" w:hAnsi="Arial" w:cs="Arial"/>
          <w:b/>
          <w:i w:val="0"/>
          <w:color w:val="1F4E79"/>
          <w:sz w:val="24"/>
        </w:rPr>
        <w:t>القراءة في الأسرة</w:t>
      </w:r>
    </w:p>
    <w:p>
      <w:pPr>
        <w:spacing w:after="22" w:line="226" w:lineRule="auto"/>
        <w:jc w:val="right"/>
        <w:bidi w:val="1"/>
      </w:pPr>
      <w:r>
        <w:rPr>
          <w:rFonts w:ascii="Arial" w:hAnsi="Arial" w:cs="Arial"/>
          <w:b w:val="0"/>
          <w:i w:val="0"/>
          <w:sz w:val="19"/>
        </w:rPr>
        <w:t>يضع التثنية 6 التعليم داخل الحياة العائلية العادية: الجلوس في البيت، والسفر، وبداية اليوم ونهايته. لذلك ينبغي أن تكون قراءة الكتاب العائلية أكثر من نطق الكلمات بصوت عالٍ. يمكن للوالدين تشجيع الأسئلة وشرح التعبيرات الصعبة وإظهار كيف ينطبق الكتاب على مواقف حقيقية.</w:t>
      </w:r>
    </w:p>
    <w:p>
      <w:pPr>
        <w:spacing w:before="52" w:after="16"/>
        <w:jc w:val="right"/>
        <w:keepNext/>
        <w:bidi w:val="1"/>
      </w:pPr>
      <w:r>
        <w:rPr>
          <w:rFonts w:ascii="Arial" w:hAnsi="Arial" w:cs="Arial"/>
          <w:b/>
          <w:i w:val="0"/>
          <w:color w:val="1F4E79"/>
          <w:sz w:val="24"/>
        </w:rPr>
        <w:t>دع الكلمة ترشد اليوم كله</w:t>
      </w:r>
    </w:p>
    <w:p>
      <w:pPr>
        <w:spacing w:after="22" w:line="226" w:lineRule="auto"/>
        <w:jc w:val="right"/>
        <w:bidi w:val="1"/>
      </w:pPr>
      <w:r>
        <w:rPr>
          <w:rFonts w:ascii="Arial" w:hAnsi="Arial" w:cs="Arial"/>
          <w:b w:val="0"/>
          <w:i w:val="0"/>
          <w:sz w:val="19"/>
        </w:rPr>
        <w:t>درس التثنية 6 بسيط لكنه متطلب: كلمات الله مكانها في القلب وفي الحياة العادية. ليست محفوظة لاجتماع أو درس كتاب أو دقائق قليلة من الدراسة الفردية، بل ينبغي أن تؤثر في قراراتنا ومحادثاتنا وعلاقاتنا وأولوياتنا وعبادتنا.</w:t>
      </w:r>
    </w:p>
    <w:p>
      <w:pPr>
        <w:spacing w:before="52" w:after="16"/>
        <w:jc w:val="right"/>
        <w:keepNext/>
        <w:bidi w:val="1"/>
      </w:pPr>
      <w:r>
        <w:rPr>
          <w:rFonts w:ascii="Arial" w:hAnsi="Arial" w:cs="Arial"/>
          <w:b/>
          <w:i w:val="0"/>
          <w:color w:val="1F4E79"/>
          <w:sz w:val="24"/>
        </w:rPr>
        <w:t>قائمة للنمو الروحي</w:t>
      </w:r>
    </w:p>
    <w:p>
      <w:pPr>
        <w:spacing w:after="22" w:line="226" w:lineRule="auto"/>
        <w:jc w:val="right"/>
        <w:bidi w:val="1"/>
      </w:pPr>
      <w:r>
        <w:rPr>
          <w:rFonts w:ascii="Arial" w:hAnsi="Arial" w:cs="Arial"/>
          <w:b w:val="0"/>
          <w:i w:val="0"/>
          <w:sz w:val="19"/>
        </w:rPr>
        <w:t>1. اقرأ جزءاً من الكتاب كل يوم حيث أمكن، مستخدماً خطة تمر بك تدريجياً في الكتاب كله.  2. صلِّ قبل القراءة طالباً التواضع والتركيز والفهم.  3. شجع أسرتك على القراءة والمناقشة معك حيث أمكن.  4. احتفظ بسجل للأسئلة والمواضع الصعبة، واطلب مساعدة مؤمنين ناضجين لكن ارجع دائماً إلى الكتاب لاختبار الجواب.  5. تأمل فيما قرأت وطبّق دروسه عمداً خلال اليوم.  6. احفظ آيات مهمة حتى تكون كلمة الله حاضرة في ذهنك عند الحاجة.  7. لا تثبطك المواضع الصعبة؛ فالفهم ينمو عبر سنوات من القراءة المتكررة.</w:t>
      </w:r>
    </w:p>
    <w:p>
      <w:pPr>
        <w:spacing w:before="52" w:after="16"/>
        <w:jc w:val="right"/>
        <w:keepNext/>
        <w:bidi w:val="1"/>
      </w:pPr>
      <w:r>
        <w:rPr>
          <w:rFonts w:ascii="Arial" w:hAnsi="Arial" w:cs="Arial"/>
          <w:b/>
          <w:i w:val="0"/>
          <w:color w:val="1F4E79"/>
          <w:sz w:val="24"/>
        </w:rPr>
        <w:t>مصباح للرحلة</w:t>
      </w:r>
    </w:p>
    <w:p>
      <w:pPr>
        <w:spacing w:after="22" w:line="226" w:lineRule="auto"/>
        <w:jc w:val="right"/>
        <w:bidi w:val="1"/>
      </w:pPr>
      <w:r>
        <w:rPr>
          <w:rFonts w:ascii="Arial" w:hAnsi="Arial" w:cs="Arial"/>
          <w:b w:val="0"/>
          <w:i w:val="0"/>
          <w:sz w:val="19"/>
        </w:rPr>
        <w:t>كان لإسرائيل رحلة من العبودية نحو الأرض الموعودة. وللتلاميذ أيضاً رحلة: من الحياة القديمة نحو مملكة الله. نحتاج إلى توجيه كل يوم. يصف المرنم دور كلمة الله في جملة لا تُنسى:</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«سراج لرجلي كلامك ونور لسبيلي.»</w:t>
            </w:r>
          </w:p>
          <w:p>
            <w:pPr>
              <w:spacing w:after="0"/>
              <w:jc w:val="right"/>
              <w:bidi w:val="1"/>
            </w:pPr>
            <w:r>
              <w:rPr>
                <w:rFonts w:ascii="Arial" w:hAnsi="Arial" w:cs="Arial"/>
                <w:b/>
                <w:i w:val="0"/>
                <w:color w:val="333333"/>
                <w:sz w:val="17"/>
              </w:rPr>
              <w:t>مزمور 119:105  •  King James Version</w:t>
            </w:r>
          </w:p>
        </w:tc>
      </w:tr>
    </w:tbl>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7"/>
              <w:jc w:val="right"/>
              <w:bidi w:val="1"/>
            </w:pPr>
            <w:r>
              <w:rPr>
                <w:rFonts w:ascii="Arial" w:hAnsi="Arial" w:cs="Arial"/>
                <w:b/>
                <w:i w:val="0"/>
                <w:color w:val="1F4E79"/>
                <w:sz w:val="19"/>
              </w:rPr>
              <w:t>الهدف</w:t>
            </w:r>
          </w:p>
          <w:p>
            <w:pPr>
              <w:spacing w:after="0" w:line="221" w:lineRule="auto"/>
              <w:jc w:val="right"/>
              <w:bidi w:val="1"/>
            </w:pPr>
            <w:r>
              <w:rPr>
                <w:rFonts w:ascii="Arial" w:hAnsi="Arial" w:cs="Arial"/>
                <w:b w:val="0"/>
                <w:i w:val="0"/>
                <w:sz w:val="18"/>
              </w:rPr>
              <w:t>لا تقرأ لمجرد إنهاء اصحاحات أو جمع معلومات. اقرأ لكي تعرف الله أكثر، وتفهم قصده أوضح، وتنمو في شخصية ابنه، وتصير تلميذاً أكثر أمانة في الحياة اليومية.</w:t>
            </w:r>
          </w:p>
        </w:tc>
      </w:tr>
    </w:tbl>
    <w:p>
      <w:pPr>
        <w:spacing w:before="52" w:after="16"/>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1</w:t>
            </w:r>
          </w:p>
        </w:tc>
        <w:tc>
          <w:tcPr>
            <w:tcW w:type="dxa" w:w="5090"/>
          </w:tcPr>
          <w:p>
            <w:pPr>
              <w:spacing w:after="0"/>
              <w:jc w:val="right"/>
              <w:bidi w:val="1"/>
            </w:pPr>
            <w:r>
              <w:rPr>
                <w:rFonts w:ascii="Arial" w:hAnsi="Arial" w:cs="Arial"/>
                <w:b/>
                <w:i w:val="0"/>
                <w:color w:val="1F4E79"/>
                <w:sz w:val="18"/>
              </w:rPr>
              <w:t>مكان كلمة الله في الحياة اليومية.</w:t>
            </w:r>
          </w:p>
          <w:p>
            <w:pPr>
              <w:spacing w:after="0" w:line="216" w:lineRule="auto"/>
              <w:jc w:val="right"/>
              <w:bidi w:val="1"/>
            </w:pPr>
            <w:r>
              <w:rPr>
                <w:rFonts w:ascii="Arial" w:hAnsi="Arial" w:cs="Arial"/>
                <w:b w:val="0"/>
                <w:i w:val="0"/>
                <w:sz w:val="17"/>
              </w:rPr>
              <w:t>يجمع التثنية 6 بين السماع والتذكر والتعليم والطاعة.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2</w:t>
            </w:r>
          </w:p>
        </w:tc>
        <w:tc>
          <w:tcPr>
            <w:tcW w:type="dxa" w:w="5090"/>
          </w:tcPr>
          <w:p>
            <w:pPr>
              <w:spacing w:after="0"/>
              <w:jc w:val="right"/>
              <w:bidi w:val="1"/>
            </w:pPr>
            <w:r>
              <w:rPr>
                <w:rFonts w:ascii="Arial" w:hAnsi="Arial" w:cs="Arial"/>
                <w:b/>
                <w:i w:val="0"/>
                <w:color w:val="1F4E79"/>
                <w:sz w:val="18"/>
              </w:rPr>
              <w:t>الخلاص يجلب مسؤولية.</w:t>
            </w:r>
          </w:p>
          <w:p>
            <w:pPr>
              <w:spacing w:after="0" w:line="216" w:lineRule="auto"/>
              <w:jc w:val="right"/>
              <w:bidi w:val="1"/>
            </w:pPr>
            <w:r>
              <w:rPr>
                <w:rFonts w:ascii="Arial" w:hAnsi="Arial" w:cs="Arial"/>
                <w:b w:val="0"/>
                <w:i w:val="0"/>
                <w:sz w:val="17"/>
              </w:rPr>
              <w:t>مثل إسرائيل بعد مصر، يُدعى التلاميذ المعتمدون إلى الاستمرار في الإيمان والطاعة.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3</w:t>
            </w:r>
          </w:p>
        </w:tc>
        <w:tc>
          <w:tcPr>
            <w:tcW w:type="dxa" w:w="5090"/>
          </w:tcPr>
          <w:p>
            <w:pPr>
              <w:spacing w:after="0"/>
              <w:jc w:val="right"/>
              <w:bidi w:val="1"/>
            </w:pPr>
            <w:r>
              <w:rPr>
                <w:rFonts w:ascii="Arial" w:hAnsi="Arial" w:cs="Arial"/>
                <w:b/>
                <w:i w:val="0"/>
                <w:color w:val="1F4E79"/>
                <w:sz w:val="18"/>
              </w:rPr>
              <w:t>كل الكتاب يستحق الانتباه الدقيق.</w:t>
            </w:r>
          </w:p>
          <w:p>
            <w:pPr>
              <w:spacing w:after="0" w:line="216" w:lineRule="auto"/>
              <w:jc w:val="right"/>
              <w:bidi w:val="1"/>
            </w:pPr>
            <w:r>
              <w:rPr>
                <w:rFonts w:ascii="Arial" w:hAnsi="Arial" w:cs="Arial"/>
                <w:b w:val="0"/>
                <w:i w:val="0"/>
                <w:sz w:val="17"/>
              </w:rPr>
              <w:t>العهدان معاً يعلمان ويصححان ويقويان ويعطيان الرجاء.</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4</w:t>
            </w:r>
          </w:p>
        </w:tc>
        <w:tc>
          <w:tcPr>
            <w:tcW w:type="dxa" w:w="5090"/>
          </w:tcPr>
          <w:p>
            <w:pPr>
              <w:spacing w:after="0"/>
              <w:jc w:val="right"/>
              <w:bidi w:val="1"/>
            </w:pPr>
            <w:r>
              <w:rPr>
                <w:rFonts w:ascii="Arial" w:hAnsi="Arial" w:cs="Arial"/>
                <w:b/>
                <w:i w:val="0"/>
                <w:color w:val="1F4E79"/>
                <w:sz w:val="18"/>
              </w:rPr>
              <w:t>قراءة الكتاب يجب أن تقود إلى العمل.</w:t>
            </w:r>
          </w:p>
          <w:p>
            <w:pPr>
              <w:spacing w:after="0" w:line="216" w:lineRule="auto"/>
              <w:jc w:val="right"/>
              <w:bidi w:val="1"/>
            </w:pPr>
            <w:r>
              <w:rPr>
                <w:rFonts w:ascii="Arial" w:hAnsi="Arial" w:cs="Arial"/>
                <w:b w:val="0"/>
                <w:i w:val="0"/>
                <w:sz w:val="17"/>
              </w:rPr>
              <w:t>نحن مدعوون أن نكون عاملين بالكلمة لا سامعين فقط.</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8"/>
              </w:rPr>
              <w:t>5</w:t>
            </w:r>
          </w:p>
        </w:tc>
        <w:tc>
          <w:tcPr>
            <w:tcW w:type="dxa" w:w="5090"/>
          </w:tcPr>
          <w:p>
            <w:pPr>
              <w:spacing w:after="0"/>
              <w:jc w:val="right"/>
              <w:bidi w:val="1"/>
            </w:pPr>
            <w:r>
              <w:rPr>
                <w:rFonts w:ascii="Arial" w:hAnsi="Arial" w:cs="Arial"/>
                <w:b/>
                <w:i w:val="0"/>
                <w:color w:val="1F4E79"/>
                <w:sz w:val="18"/>
              </w:rPr>
              <w:t>القراءة المنتظمة تشكل العقل.</w:t>
            </w:r>
          </w:p>
          <w:p>
            <w:pPr>
              <w:spacing w:after="0" w:line="216" w:lineRule="auto"/>
              <w:jc w:val="right"/>
              <w:bidi w:val="1"/>
            </w:pPr>
            <w:r>
              <w:rPr>
                <w:rFonts w:ascii="Arial" w:hAnsi="Arial" w:cs="Arial"/>
                <w:b w:val="0"/>
                <w:i w:val="0"/>
                <w:sz w:val="17"/>
              </w:rPr>
              <w:t>القراءة الصلاة والتأمل تساعد طرق الله أن تصير جزءاً متزايداً من تفكيرنا وسلوكنا.</w:t>
            </w:r>
          </w:p>
        </w:tc>
      </w:tr>
    </w:tbl>
    <w:p>
      <w:pPr>
        <w:spacing w:before="52" w:after="16"/>
        <w:jc w:val="right"/>
        <w:keepNext/>
        <w:bidi w:val="1"/>
      </w:pPr>
      <w:r>
        <w:rPr>
          <w:rFonts w:ascii="Arial" w:hAnsi="Arial" w:cs="Arial"/>
          <w:b/>
          <w:i w:val="0"/>
          <w:color w:val="1F4E79"/>
          <w:sz w:val="24"/>
        </w:rPr>
        <w:t>فصول للقراءة</w:t>
      </w:r>
    </w:p>
    <w:p>
      <w:pPr>
        <w:spacing w:after="22" w:line="226" w:lineRule="auto"/>
        <w:jc w:val="right"/>
        <w:bidi w:val="1"/>
      </w:pPr>
      <w:r>
        <w:rPr>
          <w:rFonts w:ascii="Arial" w:hAnsi="Arial" w:cs="Arial"/>
          <w:b w:val="0"/>
          <w:i w:val="0"/>
          <w:sz w:val="19"/>
        </w:rPr>
        <w:t>التثنية 6  •  مزمور 19  •  مزمور 119:89-112  •  تيموثاوس الثانية 3:14-17  •  يوحنا 17</w:t>
      </w:r>
    </w:p>
    <w:p>
      <w:pPr>
        <w:spacing w:before="52" w:after="16"/>
        <w:jc w:val="right"/>
        <w:keepNext/>
        <w:bidi w:val="1"/>
      </w:pPr>
      <w:r>
        <w:rPr>
          <w:rFonts w:ascii="Arial" w:hAnsi="Arial" w:cs="Arial"/>
          <w:b/>
          <w:i w:val="0"/>
          <w:color w:val="1F4E79"/>
          <w:sz w:val="24"/>
        </w:rPr>
        <w:t>للحفظ  •  مزمور 119:105</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8" w:line="221" w:lineRule="auto"/>
              <w:jc w:val="right"/>
              <w:bidi w:val="1"/>
            </w:pPr>
            <w:r>
              <w:rPr>
                <w:rFonts w:ascii="Arial" w:hAnsi="Arial" w:cs="Arial"/>
                <w:b w:val="0"/>
                <w:i/>
                <w:sz w:val="18"/>
              </w:rPr>
              <w:t>«سراج لرجلي كلامك ونور لسبيلي.»</w:t>
            </w:r>
          </w:p>
          <w:p>
            <w:pPr>
              <w:spacing w:after="0"/>
              <w:jc w:val="right"/>
              <w:bidi w:val="1"/>
            </w:pPr>
            <w:r>
              <w:rPr>
                <w:rFonts w:ascii="Arial" w:hAnsi="Arial" w:cs="Arial"/>
                <w:b/>
                <w:i w:val="0"/>
                <w:color w:val="333333"/>
                <w:sz w:val="17"/>
              </w:rPr>
              <w:t>مزمور 119:105  •  King James Version</w:t>
            </w:r>
          </w:p>
        </w:tc>
      </w:tr>
    </w:tbl>
    <w:sectPr w:rsidR="00FC693F" w:rsidRPr="0006063C" w:rsidSect="00034616">
      <w:headerReference w:type="default" r:id="rId9"/>
      <w:footerReference w:type="default" r:id="rId10"/>
      <w:pgSz w:w="11909" w:h="16834"/>
      <w:pgMar w:top="634" w:right="864" w:bottom="66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