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44</w:t>
      </w:r>
    </w:p>
    <w:p>
      <w:pPr>
        <w:spacing w:after="20"/>
        <w:jc w:val="center"/>
        <w:bidi w:val="1"/>
      </w:pPr>
      <w:r>
        <w:rPr>
          <w:rFonts w:ascii="Arial" w:hAnsi="Arial" w:cs="Arial"/>
          <w:b/>
          <w:i w:val="0"/>
          <w:color w:val="1F4E79"/>
          <w:sz w:val="35"/>
        </w:rPr>
        <w:t>إكليسيا الله</w:t>
      </w:r>
    </w:p>
    <w:p>
      <w:pPr>
        <w:spacing w:after="60"/>
        <w:jc w:val="center"/>
        <w:bidi w:val="1"/>
      </w:pPr>
      <w:r>
        <w:rPr>
          <w:rFonts w:ascii="Arial" w:hAnsi="Arial" w:cs="Arial"/>
          <w:b/>
          <w:i w:val="0"/>
          <w:color w:val="333333"/>
          <w:sz w:val="19"/>
        </w:rPr>
        <w:t>القراءة  •  تيموثاوس الأولى 3</w:t>
      </w:r>
    </w:p>
    <w:p>
      <w:pPr>
        <w:spacing w:before="52" w:after="16"/>
        <w:jc w:val="right"/>
        <w:keepNext/>
        <w:bidi w:val="1"/>
      </w:pPr>
      <w:r>
        <w:rPr>
          <w:rFonts w:ascii="Arial" w:hAnsi="Arial" w:cs="Arial"/>
          <w:b/>
          <w:i w:val="0"/>
          <w:color w:val="1F4E79"/>
          <w:sz w:val="24"/>
        </w:rPr>
        <w:t>جسد واحد في المسيح</w:t>
      </w:r>
    </w:p>
    <w:p>
      <w:pPr>
        <w:spacing w:after="22" w:line="226" w:lineRule="auto"/>
        <w:jc w:val="right"/>
        <w:bidi w:val="1"/>
      </w:pPr>
      <w:r>
        <w:rPr>
          <w:rFonts w:ascii="Arial" w:hAnsi="Arial" w:cs="Arial"/>
          <w:b w:val="0"/>
          <w:i w:val="0"/>
          <w:sz w:val="19"/>
        </w:rPr>
        <w:t>تضم المعمودية المؤمنين إلى المسيح وإلى عائلة عالمية من التلاميذ. يصف العهد الجديد هذه الجماعة كجسد واحد، والرب يسوع المسيح رأسه، ولكل عضو دور يؤديه.</w:t>
      </w:r>
    </w:p>
    <w:p>
      <w:pPr>
        <w:spacing w:before="52" w:after="16"/>
        <w:jc w:val="right"/>
        <w:keepNext/>
        <w:bidi w:val="1"/>
      </w:pPr>
      <w:r>
        <w:rPr>
          <w:rFonts w:ascii="Arial" w:hAnsi="Arial" w:cs="Arial"/>
          <w:b/>
          <w:i w:val="0"/>
          <w:color w:val="1F4E79"/>
          <w:sz w:val="24"/>
        </w:rPr>
        <w:t>ما هي الإكليسيا؟</w:t>
      </w:r>
    </w:p>
    <w:p>
      <w:pPr>
        <w:spacing w:after="22" w:line="226" w:lineRule="auto"/>
        <w:jc w:val="right"/>
        <w:bidi w:val="1"/>
      </w:pPr>
      <w:r>
        <w:rPr>
          <w:rFonts w:ascii="Arial" w:hAnsi="Arial" w:cs="Arial"/>
          <w:b w:val="0"/>
          <w:i w:val="0"/>
          <w:sz w:val="19"/>
        </w:rPr>
        <w:t>الكلمة اليونانية ekklesia تُترجم عادة «كنيسة» أو «مجمع» أو «جماعة». وفي العهد الجديد تشير أساساً إلى اجتماع أو جماعة من الناس، لا إلى مبنى ديني. بل يستخدم أعمال 19 الكلمة نفسها للمجمع المدني في أفسس. لذلك ليس السؤال المهم «أين مبنى الكنيسة؟» بل «من هم الناس الذين ينتمون إلى المسيح؟»</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«لأنه كما أن الجسد هو واحد وله أعضاء كثيرة، وكل أعضاء الجسد الواحد إذا كانت كثيرة هي جسد واحد، كذلك المسيح أيضاً. لأننا جميعنا بروح واحد أيضاً اعتمدنا إلى جسد واحد، يهوداً كنا أم يونانيين، عبيداً أم أحراراً.»</w:t>
            </w:r>
          </w:p>
          <w:p>
            <w:pPr>
              <w:spacing w:after="0"/>
              <w:jc w:val="right"/>
              <w:bidi w:val="1"/>
            </w:pPr>
            <w:r>
              <w:rPr>
                <w:rFonts w:ascii="Arial" w:hAnsi="Arial" w:cs="Arial"/>
                <w:b/>
                <w:i w:val="0"/>
                <w:color w:val="333333"/>
                <w:sz w:val="17"/>
              </w:rPr>
              <w:t>كورنثوس الأولى 12:12-13  •  King James Version</w:t>
            </w:r>
          </w:p>
        </w:tc>
      </w:tr>
    </w:tbl>
    <w:p>
      <w:pPr>
        <w:spacing w:after="22" w:line="226" w:lineRule="auto"/>
        <w:jc w:val="right"/>
        <w:bidi w:val="1"/>
      </w:pPr>
      <w:r>
        <w:rPr>
          <w:rFonts w:ascii="Arial" w:hAnsi="Arial" w:cs="Arial"/>
          <w:b w:val="0"/>
          <w:i w:val="0"/>
          <w:sz w:val="19"/>
        </w:rPr>
        <w:t>يستخدم الكريستادلفيان كلمة «إكليسيا» للجماعة المحلية لأنها تبقي التركيز على الناس المجتمعين لعبادة الله، لا على المبنى الذي يجتمعون فيه.</w:t>
      </w:r>
    </w:p>
    <w:p>
      <w:pPr>
        <w:spacing w:before="52" w:after="16"/>
        <w:jc w:val="right"/>
        <w:keepNext/>
        <w:bidi w:val="1"/>
      </w:pPr>
      <w:r>
        <w:rPr>
          <w:rFonts w:ascii="Arial" w:hAnsi="Arial" w:cs="Arial"/>
          <w:b/>
          <w:i w:val="0"/>
          <w:color w:val="1F4E79"/>
          <w:sz w:val="24"/>
        </w:rPr>
        <w:t>مدعوون للانتماء</w:t>
      </w:r>
    </w:p>
    <w:p>
      <w:pPr>
        <w:spacing w:after="22" w:line="226" w:lineRule="auto"/>
        <w:jc w:val="right"/>
        <w:bidi w:val="1"/>
      </w:pPr>
      <w:r>
        <w:rPr>
          <w:rFonts w:ascii="Arial" w:hAnsi="Arial" w:cs="Arial"/>
          <w:b w:val="0"/>
          <w:i w:val="0"/>
          <w:sz w:val="19"/>
        </w:rPr>
        <w:t>يدعو الإنجيل الرجال والنساء للخروج من طريقة حياة قديمة إلى علاقة جديدة مع الله خلال الرب يسوع المسيح. يبين أعمال 8:12 أشخاصاً يؤمنون «بالأمور المختصة بملكوت الله وباسم يسوع المسيح» ثم يعتمدون. لذلك المعمودية شخصية وجماعية معاً: المؤمن ينتمي إلى المسيح ويصير جزءاً من جسده.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«وأية موافقة لهيكل الله مع الأوثان؟ فإنكم أنتم هيكل الله الحي، كما قال الله: إني سأسكن فيهم وأسير بينهم وأكون لهم إلهاً وهم يكونون لي شعباً.»</w:t>
            </w:r>
          </w:p>
          <w:p>
            <w:pPr>
              <w:spacing w:after="0"/>
              <w:jc w:val="right"/>
              <w:bidi w:val="1"/>
            </w:pPr>
            <w:r>
              <w:rPr>
                <w:rFonts w:ascii="Arial" w:hAnsi="Arial" w:cs="Arial"/>
                <w:b/>
                <w:i w:val="0"/>
                <w:color w:val="333333"/>
                <w:sz w:val="17"/>
              </w:rPr>
              <w:t>كورنثوس الثانية 6:16  •  King James Version</w:t>
            </w:r>
          </w:p>
        </w:tc>
      </w:tr>
    </w:tbl>
    <w:p>
      <w:pPr>
        <w:spacing w:after="22" w:line="226" w:lineRule="auto"/>
        <w:jc w:val="right"/>
        <w:bidi w:val="1"/>
      </w:pPr>
      <w:r>
        <w:rPr>
          <w:rFonts w:ascii="Arial" w:hAnsi="Arial" w:cs="Arial"/>
          <w:b w:val="0"/>
          <w:i w:val="0"/>
          <w:sz w:val="19"/>
        </w:rPr>
        <w:t>الانفصال عن العالم لا يعني العزلة عن الناس أو معاملتهم باحتقار. بل يعني أن الولاء لله وحقه ومعاييره يأتي أولاً. لذلك يفهم الكريستادلفيان الشركة المسيحية على أنها تقوم على إنجيل مشترك ومعمودية والتزام مشترك بتعليم الكتاب.</w:t>
      </w:r>
    </w:p>
    <w:p>
      <w:pPr>
        <w:spacing w:before="52" w:after="16"/>
        <w:jc w:val="right"/>
        <w:keepNext/>
        <w:bidi w:val="1"/>
      </w:pPr>
      <w:r>
        <w:rPr>
          <w:rFonts w:ascii="Arial" w:hAnsi="Arial" w:cs="Arial"/>
          <w:b/>
          <w:i w:val="0"/>
          <w:color w:val="1F4E79"/>
          <w:sz w:val="24"/>
        </w:rPr>
        <w:t>لا تهملوا الاجتماع</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«لنتمسك بإقرار الرجاء راسخاً لأن الذي وعد هو أمين. ولنلاحظ بعضنا بعضاً للتحريض على المحبة والأعمال الحسنة، غير تاركين اجتماعنا كما لقوم عادة، بل واعظين بعضنا بعضاً.»</w:t>
            </w:r>
          </w:p>
          <w:p>
            <w:pPr>
              <w:spacing w:after="0"/>
              <w:jc w:val="right"/>
              <w:bidi w:val="1"/>
            </w:pPr>
            <w:r>
              <w:rPr>
                <w:rFonts w:ascii="Arial" w:hAnsi="Arial" w:cs="Arial"/>
                <w:b/>
                <w:i w:val="0"/>
                <w:color w:val="333333"/>
                <w:sz w:val="17"/>
              </w:rPr>
              <w:t>العبرانيين 10:23-25  •  King James Version</w:t>
            </w:r>
          </w:p>
        </w:tc>
      </w:tr>
    </w:tbl>
    <w:p>
      <w:pPr>
        <w:spacing w:before="52" w:after="16"/>
        <w:jc w:val="right"/>
        <w:keepNext/>
        <w:bidi w:val="1"/>
      </w:pPr>
      <w:r>
        <w:rPr>
          <w:rFonts w:ascii="Arial" w:hAnsi="Arial" w:cs="Arial"/>
          <w:b/>
          <w:i w:val="0"/>
          <w:color w:val="1F4E79"/>
          <w:sz w:val="24"/>
        </w:rPr>
        <w:t>الإكليسيا كجسد واحد</w:t>
      </w:r>
    </w:p>
    <w:p>
      <w:pPr>
        <w:spacing w:after="22" w:line="226" w:lineRule="auto"/>
        <w:jc w:val="right"/>
        <w:bidi w:val="1"/>
      </w:pPr>
      <w:r>
        <w:rPr>
          <w:rFonts w:ascii="Arial" w:hAnsi="Arial" w:cs="Arial"/>
          <w:b w:val="0"/>
          <w:i w:val="0"/>
          <w:sz w:val="19"/>
        </w:rPr>
        <w:t>يستخدم بولس جسد الإنسان مراراً صورة لحياة الإكليسيا. للجسد أعضاء مختلفة كثيرة، لكن كل عضو ينتمي إلى الكل. اختلاف القدرة إذن ليس ضعفاً؛ فالإكليسيا تحتاج إلى مواهب وخبرات وأشكال خدمة مختلفة.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«فإنه كما في جسد واحد لنا أعضاء كثيرة، ولكن ليس جميع الأعضاء لها عمل واحد، هكذا نحن الكثيرين جسد واحد في المسيح وأعضاء بعضاً لبعض كل واحد للآخر.»</w:t>
            </w:r>
          </w:p>
          <w:p>
            <w:pPr>
              <w:spacing w:after="0"/>
              <w:jc w:val="right"/>
              <w:bidi w:val="1"/>
            </w:pPr>
            <w:r>
              <w:rPr>
                <w:rFonts w:ascii="Arial" w:hAnsi="Arial" w:cs="Arial"/>
                <w:b/>
                <w:i w:val="0"/>
                <w:color w:val="333333"/>
                <w:sz w:val="17"/>
              </w:rPr>
              <w:t>رومية 12:4-5  •  King James Version</w:t>
            </w:r>
          </w:p>
        </w:tc>
      </w:tr>
    </w:tbl>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الصورة الكتابية</w:t>
            </w:r>
          </w:p>
        </w:tc>
        <w:tc>
          <w:tcPr>
            <w:tcW w:type="dxa" w:w="5090"/>
            <w:shd w:fill="D9EAF7"/>
          </w:tcPr>
          <w:p>
            <w:pPr>
              <w:jc w:val="center"/>
              <w:keepNext/>
              <w:bidi w:val="1"/>
            </w:pPr>
            <w:r>
              <w:rPr>
                <w:rFonts w:ascii="Arial" w:hAnsi="Arial" w:cs="Arial"/>
                <w:b/>
                <w:i w:val="0"/>
                <w:color w:val="1F4E79"/>
                <w:sz w:val="15"/>
              </w:rPr>
              <w:t>ما تعلمنا إياه</w:t>
            </w:r>
          </w:p>
        </w:tc>
      </w:tr>
      <w:tr>
        <w:trPr>
          <w:cantSplit/>
        </w:trPr>
        <w:tc>
          <w:tcPr>
            <w:tcW w:type="dxa" w:w="5090"/>
          </w:tcPr>
          <w:p>
            <w:pPr>
              <w:spacing w:after="0" w:line="216" w:lineRule="auto"/>
              <w:jc w:val="right"/>
              <w:bidi w:val="1"/>
            </w:pPr>
            <w:r>
              <w:rPr>
                <w:rFonts w:ascii="Arial" w:hAnsi="Arial" w:cs="Arial"/>
                <w:b w:val="0"/>
                <w:i w:val="0"/>
                <w:sz w:val="15"/>
              </w:rPr>
              <w:t>جسد واحد</w:t>
            </w:r>
          </w:p>
        </w:tc>
        <w:tc>
          <w:tcPr>
            <w:tcW w:type="dxa" w:w="5090"/>
          </w:tcPr>
          <w:p>
            <w:pPr>
              <w:spacing w:after="0" w:line="216" w:lineRule="auto"/>
              <w:jc w:val="right"/>
              <w:bidi w:val="1"/>
            </w:pPr>
            <w:r>
              <w:rPr>
                <w:rFonts w:ascii="Arial" w:hAnsi="Arial" w:cs="Arial"/>
                <w:b w:val="0"/>
                <w:i w:val="0"/>
                <w:sz w:val="15"/>
              </w:rPr>
              <w:t>المؤمنون ينتمون بعضهم إلى بعض؛ المسيحية ليست مقصودة أن تُعاش في عزلة.</w:t>
            </w:r>
          </w:p>
        </w:tc>
      </w:tr>
      <w:tr>
        <w:trPr>
          <w:cantSplit/>
        </w:trPr>
        <w:tc>
          <w:tcPr>
            <w:tcW w:type="dxa" w:w="5090"/>
          </w:tcPr>
          <w:p>
            <w:pPr>
              <w:spacing w:after="0" w:line="216" w:lineRule="auto"/>
              <w:jc w:val="right"/>
              <w:bidi w:val="1"/>
            </w:pPr>
            <w:r>
              <w:rPr>
                <w:rFonts w:ascii="Arial" w:hAnsi="Arial" w:cs="Arial"/>
                <w:b w:val="0"/>
                <w:i w:val="0"/>
                <w:sz w:val="15"/>
              </w:rPr>
              <w:t>أعضاء كثيرة</w:t>
            </w:r>
          </w:p>
        </w:tc>
        <w:tc>
          <w:tcPr>
            <w:tcW w:type="dxa" w:w="5090"/>
          </w:tcPr>
          <w:p>
            <w:pPr>
              <w:spacing w:after="0" w:line="216" w:lineRule="auto"/>
              <w:jc w:val="right"/>
              <w:bidi w:val="1"/>
            </w:pPr>
            <w:r>
              <w:rPr>
                <w:rFonts w:ascii="Arial" w:hAnsi="Arial" w:cs="Arial"/>
                <w:b w:val="0"/>
                <w:i w:val="0"/>
                <w:sz w:val="15"/>
              </w:rPr>
              <w:t>ليس للجميع القدرة أو المسؤولية نفسها، لكن كل عضو أمين مهم.</w:t>
            </w:r>
          </w:p>
        </w:tc>
      </w:tr>
      <w:tr>
        <w:trPr>
          <w:cantSplit/>
        </w:trPr>
        <w:tc>
          <w:tcPr>
            <w:tcW w:type="dxa" w:w="5090"/>
          </w:tcPr>
          <w:p>
            <w:pPr>
              <w:spacing w:after="0" w:line="216" w:lineRule="auto"/>
              <w:jc w:val="right"/>
              <w:bidi w:val="1"/>
            </w:pPr>
            <w:r>
              <w:rPr>
                <w:rFonts w:ascii="Arial" w:hAnsi="Arial" w:cs="Arial"/>
                <w:b w:val="0"/>
                <w:i w:val="0"/>
                <w:sz w:val="15"/>
              </w:rPr>
              <w:t>المسيح الرأس</w:t>
            </w:r>
          </w:p>
        </w:tc>
        <w:tc>
          <w:tcPr>
            <w:tcW w:type="dxa" w:w="5090"/>
          </w:tcPr>
          <w:p>
            <w:pPr>
              <w:spacing w:after="0" w:line="216" w:lineRule="auto"/>
              <w:jc w:val="right"/>
              <w:bidi w:val="1"/>
            </w:pPr>
            <w:r>
              <w:rPr>
                <w:rFonts w:ascii="Arial" w:hAnsi="Arial" w:cs="Arial"/>
                <w:b w:val="0"/>
                <w:i w:val="0"/>
                <w:sz w:val="15"/>
              </w:rPr>
              <w:t>لا بابا ولا كهنوت ولا قائد بشري يحل محل سلطة الرب يسوع المسيح (أفسس 4:15؛ 5:23).</w:t>
            </w:r>
          </w:p>
        </w:tc>
      </w:tr>
      <w:tr>
        <w:trPr>
          <w:cantSplit/>
        </w:trPr>
        <w:tc>
          <w:tcPr>
            <w:tcW w:type="dxa" w:w="5090"/>
          </w:tcPr>
          <w:p>
            <w:pPr>
              <w:spacing w:after="0" w:line="216" w:lineRule="auto"/>
              <w:jc w:val="right"/>
              <w:bidi w:val="1"/>
            </w:pPr>
            <w:r>
              <w:rPr>
                <w:rFonts w:ascii="Arial" w:hAnsi="Arial" w:cs="Arial"/>
                <w:b w:val="0"/>
                <w:i w:val="0"/>
                <w:sz w:val="15"/>
              </w:rPr>
              <w:t>أعضاء بعضهم لبعض</w:t>
            </w:r>
          </w:p>
        </w:tc>
        <w:tc>
          <w:tcPr>
            <w:tcW w:type="dxa" w:w="5090"/>
          </w:tcPr>
          <w:p>
            <w:pPr>
              <w:spacing w:after="0" w:line="216" w:lineRule="auto"/>
              <w:jc w:val="right"/>
              <w:bidi w:val="1"/>
            </w:pPr>
            <w:r>
              <w:rPr>
                <w:rFonts w:ascii="Arial" w:hAnsi="Arial" w:cs="Arial"/>
                <w:b w:val="0"/>
                <w:i w:val="0"/>
                <w:sz w:val="15"/>
              </w:rPr>
              <w:t>ما يؤثر في عضو ينبغي أن يهم الآخرين؛ الشركة تشمل الرعاية العملية.</w:t>
            </w:r>
          </w:p>
        </w:tc>
      </w:tr>
      <w:tr>
        <w:trPr>
          <w:cantSplit/>
        </w:trPr>
        <w:tc>
          <w:tcPr>
            <w:tcW w:type="dxa" w:w="5090"/>
          </w:tcPr>
          <w:p>
            <w:pPr>
              <w:spacing w:after="0" w:line="216" w:lineRule="auto"/>
              <w:jc w:val="right"/>
              <w:bidi w:val="1"/>
            </w:pPr>
            <w:r>
              <w:rPr>
                <w:rFonts w:ascii="Arial" w:hAnsi="Arial" w:cs="Arial"/>
                <w:b w:val="0"/>
                <w:i w:val="0"/>
                <w:sz w:val="15"/>
              </w:rPr>
              <w:t>النمو معاً</w:t>
            </w:r>
          </w:p>
        </w:tc>
        <w:tc>
          <w:tcPr>
            <w:tcW w:type="dxa" w:w="5090"/>
          </w:tcPr>
          <w:p>
            <w:pPr>
              <w:spacing w:after="0" w:line="216" w:lineRule="auto"/>
              <w:jc w:val="right"/>
              <w:bidi w:val="1"/>
            </w:pPr>
            <w:r>
              <w:rPr>
                <w:rFonts w:ascii="Arial" w:hAnsi="Arial" w:cs="Arial"/>
                <w:b w:val="0"/>
                <w:i w:val="0"/>
                <w:sz w:val="15"/>
              </w:rPr>
              <w:t>ينبغي أن يُقال الحق بمحبة حتى يقوى الجسد كله (أفسس 4:15-16).</w:t>
            </w:r>
          </w:p>
        </w:tc>
      </w:tr>
    </w:tbl>
    <w:p>
      <w:pPr>
        <w:spacing w:before="52" w:after="16"/>
        <w:jc w:val="right"/>
        <w:keepNext/>
        <w:bidi w:val="1"/>
      </w:pPr>
      <w:r>
        <w:rPr>
          <w:rFonts w:ascii="Arial" w:hAnsi="Arial" w:cs="Arial"/>
          <w:b/>
          <w:i w:val="0"/>
          <w:color w:val="1F4E79"/>
          <w:sz w:val="24"/>
        </w:rPr>
        <w:t>قيمة متساوية أمام الله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 كلكم الذين اعتمدتم بالمسيح قد لبستم المسيح. ليس يهودي ولا يوناني، ليس عبد ولا حر، ليس ذكر وأنثى، لأنكم جميعاً واحد في المسيح يسوع.»</w:t>
            </w:r>
          </w:p>
          <w:p>
            <w:pPr>
              <w:spacing w:after="0"/>
              <w:jc w:val="right"/>
              <w:bidi w:val="1"/>
            </w:pPr>
            <w:r>
              <w:rPr>
                <w:rFonts w:ascii="Arial" w:hAnsi="Arial" w:cs="Arial"/>
                <w:b/>
                <w:i w:val="0"/>
                <w:color w:val="333333"/>
                <w:sz w:val="17"/>
              </w:rPr>
              <w:t>غلاطية 3:27-28  •  King James Version</w:t>
            </w:r>
          </w:p>
        </w:tc>
      </w:tr>
    </w:tbl>
    <w:p>
      <w:pPr>
        <w:spacing w:after="22" w:line="226" w:lineRule="auto"/>
        <w:jc w:val="right"/>
        <w:bidi w:val="1"/>
      </w:pPr>
      <w:r>
        <w:rPr>
          <w:rFonts w:ascii="Arial" w:hAnsi="Arial" w:cs="Arial"/>
          <w:b w:val="0"/>
          <w:i w:val="0"/>
          <w:sz w:val="19"/>
        </w:rPr>
        <w:t>العرق والجنسية والمكانة الاجتماعية والجنس لا تجعل مؤمناً معتمداً أكثر قيمة عند الله من آخر. ومع ذلك يعطي العهد الجديد مسؤوليات مختلفة داخل حياة الأسرة والإكليسيا. تساوي القيمة لا يعني أن كل عضو يقوم بالوظيفة نفسها.</w:t>
      </w:r>
    </w:p>
    <w:p>
      <w:pPr>
        <w:spacing w:before="52" w:after="16"/>
        <w:jc w:val="right"/>
        <w:keepNext/>
        <w:bidi w:val="1"/>
      </w:pPr>
      <w:r>
        <w:rPr>
          <w:rFonts w:ascii="Arial" w:hAnsi="Arial" w:cs="Arial"/>
          <w:b/>
          <w:i w:val="0"/>
          <w:color w:val="1F4E79"/>
          <w:sz w:val="24"/>
        </w:rPr>
        <w:t>مكان للنمو الروحي</w:t>
      </w:r>
    </w:p>
    <w:p>
      <w:pPr>
        <w:spacing w:after="22" w:line="226" w:lineRule="auto"/>
        <w:jc w:val="right"/>
        <w:bidi w:val="1"/>
      </w:pPr>
      <w:r>
        <w:rPr>
          <w:rFonts w:ascii="Arial" w:hAnsi="Arial" w:cs="Arial"/>
          <w:b w:val="0"/>
          <w:i w:val="0"/>
          <w:sz w:val="19"/>
        </w:rPr>
        <w:t>ينبغي للإكليسيا أن تساعد التلاميذ على النمو في المعرفة والمحبة والشخصية المسيحية. ولا يحدث ذلك إلا حين يسهم الأعضاء، بدلاً من توقع أن يقوم عدد قليل بكل شيء. بعضهم يعلم، وبعضهم يشجع أو ينظم أو يزور أو يرحب أو يقدم مساعدة عملية أو يرعى الأطفال أو يساعد كبار السن أو يحافظ على المراسلات أو يقوي الآخرين بهدوء بمثال أمين.</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سؤال الإكليسيا الصحي</w:t>
            </w:r>
          </w:p>
          <w:p>
            <w:pPr>
              <w:spacing w:after="0" w:line="221" w:lineRule="auto"/>
              <w:jc w:val="right"/>
              <w:bidi w:val="1"/>
            </w:pPr>
            <w:r>
              <w:rPr>
                <w:rFonts w:ascii="Arial" w:hAnsi="Arial" w:cs="Arial"/>
                <w:b w:val="0"/>
                <w:i w:val="0"/>
                <w:sz w:val="18"/>
              </w:rPr>
              <w:t>كيف أستطيع أن أساعد جسد المسيح على النمو؟ — لا فقط: «ماذا تستطيع الإكليسيا أن تفعل لي؟»</w:t>
            </w:r>
          </w:p>
        </w:tc>
      </w:tr>
    </w:tbl>
    <w:p>
      <w:pPr>
        <w:spacing w:before="52" w:after="16"/>
        <w:jc w:val="right"/>
        <w:keepNext/>
        <w:bidi w:val="1"/>
      </w:pPr>
      <w:r>
        <w:rPr>
          <w:rFonts w:ascii="Arial" w:hAnsi="Arial" w:cs="Arial"/>
          <w:b/>
          <w:i w:val="0"/>
          <w:color w:val="1F4E79"/>
          <w:sz w:val="24"/>
        </w:rPr>
        <w:t>إكليسيات محلية — عائلة عالمية واحدة</w:t>
      </w:r>
    </w:p>
    <w:p>
      <w:pPr>
        <w:spacing w:after="22" w:line="226" w:lineRule="auto"/>
        <w:jc w:val="right"/>
        <w:bidi w:val="1"/>
      </w:pPr>
      <w:r>
        <w:rPr>
          <w:rFonts w:ascii="Arial" w:hAnsi="Arial" w:cs="Arial"/>
          <w:b w:val="0"/>
          <w:i w:val="0"/>
          <w:sz w:val="19"/>
        </w:rPr>
        <w:t>يتحدث العهد الجديد عن «كنيسة الله التي في كورنثوس» (كورنثوس الثانية 1:1) وعن جماعات محلية أخرى. لكل إكليسيا محلية مسؤولية عملية عن شؤونها، لكن كل الإكليسيات الأمينة تنتمي إلى جسد المسيح الواحد.</w:t>
      </w:r>
    </w:p>
    <w:p>
      <w:pPr>
        <w:spacing w:before="52" w:after="16"/>
        <w:jc w:val="right"/>
        <w:keepNext/>
        <w:bidi w:val="1"/>
      </w:pPr>
      <w:r>
        <w:rPr>
          <w:rFonts w:ascii="Arial" w:hAnsi="Arial" w:cs="Arial"/>
          <w:b/>
          <w:i w:val="0"/>
          <w:color w:val="1F4E79"/>
          <w:sz w:val="24"/>
        </w:rPr>
        <w:t>تنظيم حياة الإكليسيا</w:t>
      </w:r>
    </w:p>
    <w:p>
      <w:pPr>
        <w:spacing w:after="22" w:line="226" w:lineRule="auto"/>
        <w:jc w:val="right"/>
        <w:bidi w:val="1"/>
      </w:pPr>
      <w:r>
        <w:rPr>
          <w:rFonts w:ascii="Arial" w:hAnsi="Arial" w:cs="Arial"/>
          <w:b w:val="0"/>
          <w:i w:val="0"/>
          <w:sz w:val="19"/>
        </w:rPr>
        <w:t>لا يعطي العهد الجديد دستوراً حديثاً أو نظاماً برلمانياً، لكنه يوفر مبادئ واضحة للتنظيم المرتب والعادل والروحي. ويُعد أعمال 6 وأعمال 15 مثالين مهمين.</w:t>
      </w:r>
    </w:p>
    <w:p>
      <w:pPr>
        <w:spacing w:before="52" w:after="16"/>
        <w:jc w:val="right"/>
        <w:keepNext/>
        <w:bidi w:val="1"/>
      </w:pPr>
      <w:r>
        <w:rPr>
          <w:rFonts w:ascii="Arial" w:hAnsi="Arial" w:cs="Arial"/>
          <w:b/>
          <w:i w:val="0"/>
          <w:color w:val="1F4E79"/>
          <w:sz w:val="24"/>
        </w:rPr>
        <w:t>أعمال 6 — تقاسم المسؤولية</w:t>
      </w:r>
    </w:p>
    <w:p>
      <w:pPr>
        <w:spacing w:after="22" w:line="226" w:lineRule="auto"/>
        <w:jc w:val="right"/>
        <w:bidi w:val="1"/>
      </w:pPr>
      <w:r>
        <w:rPr>
          <w:rFonts w:ascii="Arial" w:hAnsi="Arial" w:cs="Arial"/>
          <w:b w:val="0"/>
          <w:i w:val="0"/>
          <w:sz w:val="19"/>
        </w:rPr>
        <w:t>حين نشأت شكوى بشأن الرعاية اليومية للأرامل لم يتجاهلها الرسل. أدركوا الاحتياج العملي ومسؤوليتهم عن الاستمرار في الصلاة وخدمة الكلمة. فاختارت الجماعة رجالاً مناسبين، وعيّنهم الرسل للعمل.</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المبدأ</w:t>
            </w:r>
          </w:p>
        </w:tc>
        <w:tc>
          <w:tcPr>
            <w:tcW w:type="dxa" w:w="5090"/>
            <w:shd w:fill="D9EAF7"/>
          </w:tcPr>
          <w:p>
            <w:pPr>
              <w:jc w:val="center"/>
              <w:keepNext/>
              <w:bidi w:val="1"/>
            </w:pPr>
            <w:r>
              <w:rPr>
                <w:rFonts w:ascii="Arial" w:hAnsi="Arial" w:cs="Arial"/>
                <w:b/>
                <w:i w:val="0"/>
                <w:color w:val="1F4E79"/>
                <w:sz w:val="15"/>
              </w:rPr>
              <w:t>الدرس للإكليسيا</w:t>
            </w:r>
          </w:p>
        </w:tc>
      </w:tr>
      <w:tr>
        <w:trPr>
          <w:cantSplit/>
        </w:trPr>
        <w:tc>
          <w:tcPr>
            <w:tcW w:type="dxa" w:w="5090"/>
          </w:tcPr>
          <w:p>
            <w:pPr>
              <w:spacing w:after="0" w:line="216" w:lineRule="auto"/>
              <w:jc w:val="right"/>
              <w:bidi w:val="1"/>
            </w:pPr>
            <w:r>
              <w:rPr>
                <w:rFonts w:ascii="Arial" w:hAnsi="Arial" w:cs="Arial"/>
                <w:b w:val="0"/>
                <w:i w:val="0"/>
                <w:sz w:val="15"/>
              </w:rPr>
              <w:t>ينبغي مواجهة المشكلات.</w:t>
            </w:r>
          </w:p>
        </w:tc>
        <w:tc>
          <w:tcPr>
            <w:tcW w:type="dxa" w:w="5090"/>
          </w:tcPr>
          <w:p>
            <w:pPr>
              <w:spacing w:after="0" w:line="216" w:lineRule="auto"/>
              <w:jc w:val="right"/>
              <w:bidi w:val="1"/>
            </w:pPr>
            <w:r>
              <w:rPr>
                <w:rFonts w:ascii="Arial" w:hAnsi="Arial" w:cs="Arial"/>
                <w:b w:val="0"/>
                <w:i w:val="0"/>
                <w:sz w:val="15"/>
              </w:rPr>
              <w:t>تُسمع الشكاوى بعدل بدلاً من إخفائها أو إهمالها.</w:t>
            </w:r>
          </w:p>
        </w:tc>
      </w:tr>
      <w:tr>
        <w:trPr>
          <w:cantSplit/>
        </w:trPr>
        <w:tc>
          <w:tcPr>
            <w:tcW w:type="dxa" w:w="5090"/>
          </w:tcPr>
          <w:p>
            <w:pPr>
              <w:spacing w:after="0" w:line="216" w:lineRule="auto"/>
              <w:jc w:val="right"/>
              <w:bidi w:val="1"/>
            </w:pPr>
            <w:r>
              <w:rPr>
                <w:rFonts w:ascii="Arial" w:hAnsi="Arial" w:cs="Arial"/>
                <w:b w:val="0"/>
                <w:i w:val="0"/>
                <w:sz w:val="15"/>
              </w:rPr>
              <w:t>الأولويات الروحية مهمة.</w:t>
            </w:r>
          </w:p>
        </w:tc>
        <w:tc>
          <w:tcPr>
            <w:tcW w:type="dxa" w:w="5090"/>
          </w:tcPr>
          <w:p>
            <w:pPr>
              <w:spacing w:after="0" w:line="216" w:lineRule="auto"/>
              <w:jc w:val="right"/>
              <w:bidi w:val="1"/>
            </w:pPr>
            <w:r>
              <w:rPr>
                <w:rFonts w:ascii="Arial" w:hAnsi="Arial" w:cs="Arial"/>
                <w:b w:val="0"/>
                <w:i w:val="0"/>
                <w:sz w:val="15"/>
              </w:rPr>
              <w:t>التنظيم يسند الصلاة والتعليم والرعاية والكرازة — لا يحل محلها.</w:t>
            </w:r>
          </w:p>
        </w:tc>
      </w:tr>
      <w:tr>
        <w:trPr>
          <w:cantSplit/>
        </w:trPr>
        <w:tc>
          <w:tcPr>
            <w:tcW w:type="dxa" w:w="5090"/>
          </w:tcPr>
          <w:p>
            <w:pPr>
              <w:spacing w:after="0" w:line="216" w:lineRule="auto"/>
              <w:jc w:val="right"/>
              <w:bidi w:val="1"/>
            </w:pPr>
            <w:r>
              <w:rPr>
                <w:rFonts w:ascii="Arial" w:hAnsi="Arial" w:cs="Arial"/>
                <w:b w:val="0"/>
                <w:i w:val="0"/>
                <w:sz w:val="15"/>
              </w:rPr>
              <w:t>يخدم أشخاص مناسبون.</w:t>
            </w:r>
          </w:p>
        </w:tc>
        <w:tc>
          <w:tcPr>
            <w:tcW w:type="dxa" w:w="5090"/>
          </w:tcPr>
          <w:p>
            <w:pPr>
              <w:spacing w:after="0" w:line="216" w:lineRule="auto"/>
              <w:jc w:val="right"/>
              <w:bidi w:val="1"/>
            </w:pPr>
            <w:r>
              <w:rPr>
                <w:rFonts w:ascii="Arial" w:hAnsi="Arial" w:cs="Arial"/>
                <w:b w:val="0"/>
                <w:i w:val="0"/>
                <w:sz w:val="15"/>
              </w:rPr>
              <w:t>الشخصية والسمعة الروحية أهم من المكانة أو الطموح.</w:t>
            </w:r>
          </w:p>
        </w:tc>
      </w:tr>
      <w:tr>
        <w:trPr>
          <w:cantSplit/>
        </w:trPr>
        <w:tc>
          <w:tcPr>
            <w:tcW w:type="dxa" w:w="5090"/>
          </w:tcPr>
          <w:p>
            <w:pPr>
              <w:spacing w:after="0" w:line="216" w:lineRule="auto"/>
              <w:jc w:val="right"/>
              <w:bidi w:val="1"/>
            </w:pPr>
            <w:r>
              <w:rPr>
                <w:rFonts w:ascii="Arial" w:hAnsi="Arial" w:cs="Arial"/>
                <w:b w:val="0"/>
                <w:i w:val="0"/>
                <w:sz w:val="15"/>
              </w:rPr>
              <w:t>يمكن تقاسم المسؤولية.</w:t>
            </w:r>
          </w:p>
        </w:tc>
        <w:tc>
          <w:tcPr>
            <w:tcW w:type="dxa" w:w="5090"/>
          </w:tcPr>
          <w:p>
            <w:pPr>
              <w:spacing w:after="0" w:line="216" w:lineRule="auto"/>
              <w:jc w:val="right"/>
              <w:bidi w:val="1"/>
            </w:pPr>
            <w:r>
              <w:rPr>
                <w:rFonts w:ascii="Arial" w:hAnsi="Arial" w:cs="Arial"/>
                <w:b w:val="0"/>
                <w:i w:val="0"/>
                <w:sz w:val="15"/>
              </w:rPr>
              <w:t>لا ينبغي لشخص واحد أن يحاول السيطرة على كل جانب من حياة الإكليسيا.</w:t>
            </w:r>
          </w:p>
        </w:tc>
      </w:tr>
      <w:tr>
        <w:trPr>
          <w:cantSplit/>
        </w:trPr>
        <w:tc>
          <w:tcPr>
            <w:tcW w:type="dxa" w:w="5090"/>
          </w:tcPr>
          <w:p>
            <w:pPr>
              <w:spacing w:after="0" w:line="216" w:lineRule="auto"/>
              <w:jc w:val="right"/>
              <w:bidi w:val="1"/>
            </w:pPr>
            <w:r>
              <w:rPr>
                <w:rFonts w:ascii="Arial" w:hAnsi="Arial" w:cs="Arial"/>
                <w:b w:val="0"/>
                <w:i w:val="0"/>
                <w:sz w:val="15"/>
              </w:rPr>
              <w:t>السلام يساعد الكرازة.</w:t>
            </w:r>
          </w:p>
        </w:tc>
        <w:tc>
          <w:tcPr>
            <w:tcW w:type="dxa" w:w="5090"/>
          </w:tcPr>
          <w:p>
            <w:pPr>
              <w:spacing w:after="0" w:line="216" w:lineRule="auto"/>
              <w:jc w:val="right"/>
              <w:bidi w:val="1"/>
            </w:pPr>
            <w:r>
              <w:rPr>
                <w:rFonts w:ascii="Arial" w:hAnsi="Arial" w:cs="Arial"/>
                <w:b w:val="0"/>
                <w:i w:val="0"/>
                <w:sz w:val="15"/>
              </w:rPr>
              <w:t>بعد حل المسألة يقول أعمال 6:7 إن كلمة الله كانت تنمو.</w:t>
            </w:r>
          </w:p>
        </w:tc>
      </w:tr>
    </w:tbl>
    <w:p>
      <w:pPr>
        <w:spacing w:before="52" w:after="16"/>
        <w:jc w:val="right"/>
        <w:keepNext/>
        <w:bidi w:val="1"/>
      </w:pPr>
      <w:r>
        <w:rPr>
          <w:rFonts w:ascii="Arial" w:hAnsi="Arial" w:cs="Arial"/>
          <w:b/>
          <w:i w:val="0"/>
          <w:color w:val="1F4E79"/>
          <w:sz w:val="24"/>
        </w:rPr>
        <w:t>أعمال 15 — معالجة خلاف خطير</w:t>
      </w:r>
    </w:p>
    <w:p>
      <w:pPr>
        <w:spacing w:after="22" w:line="226" w:lineRule="auto"/>
        <w:jc w:val="right"/>
        <w:bidi w:val="1"/>
      </w:pPr>
      <w:r>
        <w:rPr>
          <w:rFonts w:ascii="Arial" w:hAnsi="Arial" w:cs="Arial"/>
          <w:b w:val="0"/>
          <w:i w:val="0"/>
          <w:sz w:val="19"/>
        </w:rPr>
        <w:t>يسجل أعمال 15 خلافاً عقائدياً صعباً. اجتمع الرسل والشيوخ للنظر في الأمر؛ وكان «مباحثة كثيرة»؛ وسُمعت الأدلة؛ ونُظر في الكتاب؛ ونُقل قرار موحد إلى الإكليسيات. لا يصف الموضع تصويت أغلبية حديثاً، لكنه يظهر مناقشة دقيقة واستماعاً واستدلالاً بالكتاب وإصراراً على حفظ الوحدة في الحق.</w:t>
      </w:r>
    </w:p>
    <w:p>
      <w:pPr>
        <w:spacing w:after="22" w:line="226" w:lineRule="auto"/>
        <w:jc w:val="right"/>
        <w:bidi w:val="1"/>
      </w:pPr>
      <w:r>
        <w:rPr>
          <w:rFonts w:ascii="Arial" w:hAnsi="Arial" w:cs="Arial"/>
          <w:b w:val="0"/>
          <w:i w:val="0"/>
          <w:sz w:val="19"/>
        </w:rPr>
        <w:t>اجتمعوا وناقشوا المسائل الصعبة بدلاً من ترك الشك ينمو. أعطوا اهتماماً جدياً للكتاب وللأدلة ذات الصلة. اسمحوا بعرض الآراء القوية دون تحويل الخلاف إلى عداوة شخصية. وبعد الوصول إلى قرار سليم انقلوه بوضوح واعملوا معاً بسلام. أبقوا هدف الإكليسيا أمامكم: العبادة والنمو والرعاية والكرازة.</w:t>
      </w:r>
    </w:p>
    <w:p>
      <w:pPr>
        <w:spacing w:before="52" w:after="16"/>
        <w:jc w:val="right"/>
        <w:keepNext/>
        <w:bidi w:val="1"/>
      </w:pPr>
      <w:r>
        <w:rPr>
          <w:rFonts w:ascii="Arial" w:hAnsi="Arial" w:cs="Arial"/>
          <w:b/>
          <w:i w:val="0"/>
          <w:color w:val="1F4E79"/>
          <w:sz w:val="24"/>
        </w:rPr>
        <w:t>الخدمة لا المكانة</w:t>
      </w:r>
    </w:p>
    <w:p>
      <w:pPr>
        <w:spacing w:after="22" w:line="226" w:lineRule="auto"/>
        <w:jc w:val="right"/>
        <w:bidi w:val="1"/>
      </w:pPr>
      <w:r>
        <w:rPr>
          <w:rFonts w:ascii="Arial" w:hAnsi="Arial" w:cs="Arial"/>
          <w:b w:val="0"/>
          <w:i w:val="0"/>
          <w:sz w:val="19"/>
        </w:rPr>
        <w:t>لا يوجد في الإكليسيات الكريستادلفية كهنوت مدفوع يقف بين المؤمنين والله. المسيح هو رئيس الكهنة ورأس الإكليسيا. توجد مسؤوليات عملية لأن العمل يحتاج أن يُفعل، لا لأن بعض الإخوة طبقة روحية أعلى من غيرهم.</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«لأني أعطيتكم مثالاً حتى كما صنعت أنا بكم تصنعون أنتم أيضاً. الحق الحق أقول لكم: إنه ليس عبد أعظم من سيده.»</w:t>
            </w:r>
          </w:p>
          <w:p>
            <w:pPr>
              <w:spacing w:after="0"/>
              <w:jc w:val="right"/>
              <w:bidi w:val="1"/>
            </w:pPr>
            <w:r>
              <w:rPr>
                <w:rFonts w:ascii="Arial" w:hAnsi="Arial" w:cs="Arial"/>
                <w:b/>
                <w:i w:val="0"/>
                <w:color w:val="333333"/>
                <w:sz w:val="17"/>
              </w:rPr>
              <w:t>يوحنا 13:15-16  •  King James Version</w:t>
            </w:r>
          </w:p>
        </w:tc>
      </w:tr>
    </w:tbl>
    <w:p>
      <w:pPr>
        <w:spacing w:before="52" w:after="16"/>
        <w:jc w:val="right"/>
        <w:keepNext/>
        <w:bidi w:val="1"/>
      </w:pPr>
      <w:r>
        <w:rPr>
          <w:rFonts w:ascii="Arial" w:hAnsi="Arial" w:cs="Arial"/>
          <w:b/>
          <w:i w:val="0"/>
          <w:color w:val="1F4E79"/>
          <w:sz w:val="24"/>
        </w:rPr>
        <w:t>الشيوخ والإخوة الخادمون</w:t>
      </w:r>
    </w:p>
    <w:p>
      <w:pPr>
        <w:spacing w:after="22" w:line="226" w:lineRule="auto"/>
        <w:jc w:val="right"/>
        <w:bidi w:val="1"/>
      </w:pPr>
      <w:r>
        <w:rPr>
          <w:rFonts w:ascii="Arial" w:hAnsi="Arial" w:cs="Arial"/>
          <w:b w:val="0"/>
          <w:i w:val="0"/>
          <w:sz w:val="19"/>
        </w:rPr>
        <w:t>كان في إكليسيات القرن الأول شيوخ أو نظار. عيّن بولس وبرنابا «قساوسة في كل كنيسة» (أعمال 14:23)، وطُلب من تيطس أن «يقيم في كل مدينة شيوخاً» (تيطس 1:5). وكانت سلطتهم تمارَس كخدمة ومثال، لا سيطرة.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«فيجب أن يكون الأسقف بلا لوم، بعل امرأة واحدة، صاحياً عاقلاً محتشماً مضيفاً للغرباء صالحاً للتعليم، غير مدمن الخمر ولا ضراب ولا طامع بالربح القبيح، بل حليماً غير مخاصم ولا محب للمال.»</w:t>
            </w:r>
          </w:p>
          <w:p>
            <w:pPr>
              <w:spacing w:after="0"/>
              <w:jc w:val="right"/>
              <w:bidi w:val="1"/>
            </w:pPr>
            <w:r>
              <w:rPr>
                <w:rFonts w:ascii="Arial" w:hAnsi="Arial" w:cs="Arial"/>
                <w:b/>
                <w:i w:val="0"/>
                <w:color w:val="333333"/>
                <w:sz w:val="17"/>
              </w:rPr>
              <w:t>تيموثاوس الأولى 3:2-3  •  King James Version</w:t>
            </w:r>
          </w:p>
        </w:tc>
      </w:tr>
    </w:tbl>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ينبغي للشيخ أن يكون...</w:t>
            </w:r>
          </w:p>
        </w:tc>
        <w:tc>
          <w:tcPr>
            <w:tcW w:type="dxa" w:w="5090"/>
            <w:shd w:fill="D9EAF7"/>
          </w:tcPr>
          <w:p>
            <w:pPr>
              <w:jc w:val="center"/>
              <w:keepNext/>
              <w:bidi w:val="1"/>
            </w:pPr>
            <w:r>
              <w:rPr>
                <w:rFonts w:ascii="Arial" w:hAnsi="Arial" w:cs="Arial"/>
                <w:b/>
                <w:i w:val="0"/>
                <w:color w:val="1F4E79"/>
                <w:sz w:val="15"/>
              </w:rPr>
              <w:t>ماذا يعني ذلك عملياً</w:t>
            </w:r>
          </w:p>
        </w:tc>
      </w:tr>
      <w:tr>
        <w:trPr>
          <w:cantSplit/>
        </w:trPr>
        <w:tc>
          <w:tcPr>
            <w:tcW w:type="dxa" w:w="5090"/>
          </w:tcPr>
          <w:p>
            <w:pPr>
              <w:spacing w:after="0" w:line="216" w:lineRule="auto"/>
              <w:jc w:val="right"/>
              <w:bidi w:val="1"/>
            </w:pPr>
            <w:r>
              <w:rPr>
                <w:rFonts w:ascii="Arial" w:hAnsi="Arial" w:cs="Arial"/>
                <w:b w:val="0"/>
                <w:i w:val="0"/>
                <w:sz w:val="15"/>
              </w:rPr>
              <w:t>راسخاً في الكتاب</w:t>
            </w:r>
          </w:p>
        </w:tc>
        <w:tc>
          <w:tcPr>
            <w:tcW w:type="dxa" w:w="5090"/>
          </w:tcPr>
          <w:p>
            <w:pPr>
              <w:spacing w:after="0" w:line="216" w:lineRule="auto"/>
              <w:jc w:val="right"/>
              <w:bidi w:val="1"/>
            </w:pPr>
            <w:r>
              <w:rPr>
                <w:rFonts w:ascii="Arial" w:hAnsi="Arial" w:cs="Arial"/>
                <w:b w:val="0"/>
                <w:i w:val="0"/>
                <w:sz w:val="15"/>
              </w:rPr>
              <w:t>قادراً على تعليم العقيدة السليمة واستخدام الكتاب بحكمة.</w:t>
            </w:r>
          </w:p>
        </w:tc>
      </w:tr>
      <w:tr>
        <w:trPr>
          <w:cantSplit/>
        </w:trPr>
        <w:tc>
          <w:tcPr>
            <w:tcW w:type="dxa" w:w="5090"/>
          </w:tcPr>
          <w:p>
            <w:pPr>
              <w:spacing w:after="0" w:line="216" w:lineRule="auto"/>
              <w:jc w:val="right"/>
              <w:bidi w:val="1"/>
            </w:pPr>
            <w:r>
              <w:rPr>
                <w:rFonts w:ascii="Arial" w:hAnsi="Arial" w:cs="Arial"/>
                <w:b w:val="0"/>
                <w:i w:val="0"/>
                <w:sz w:val="15"/>
              </w:rPr>
              <w:t>فوق الملامة</w:t>
            </w:r>
          </w:p>
        </w:tc>
        <w:tc>
          <w:tcPr>
            <w:tcW w:type="dxa" w:w="5090"/>
          </w:tcPr>
          <w:p>
            <w:pPr>
              <w:spacing w:after="0" w:line="216" w:lineRule="auto"/>
              <w:jc w:val="right"/>
              <w:bidi w:val="1"/>
            </w:pPr>
            <w:r>
              <w:rPr>
                <w:rFonts w:ascii="Arial" w:hAnsi="Arial" w:cs="Arial"/>
                <w:b w:val="0"/>
                <w:i w:val="0"/>
                <w:sz w:val="15"/>
              </w:rPr>
              <w:t>ينبغي أن يسند سلوكه اليومي تعليمه لا أن يناقضه.</w:t>
            </w:r>
          </w:p>
        </w:tc>
      </w:tr>
      <w:tr>
        <w:trPr>
          <w:cantSplit/>
        </w:trPr>
        <w:tc>
          <w:tcPr>
            <w:tcW w:type="dxa" w:w="5090"/>
          </w:tcPr>
          <w:p>
            <w:pPr>
              <w:spacing w:after="0" w:line="216" w:lineRule="auto"/>
              <w:jc w:val="right"/>
              <w:bidi w:val="1"/>
            </w:pPr>
            <w:r>
              <w:rPr>
                <w:rFonts w:ascii="Arial" w:hAnsi="Arial" w:cs="Arial"/>
                <w:b w:val="0"/>
                <w:i w:val="0"/>
                <w:sz w:val="15"/>
              </w:rPr>
              <w:t>ضابطاً لنفسه ولطيفاً</w:t>
            </w:r>
          </w:p>
        </w:tc>
        <w:tc>
          <w:tcPr>
            <w:tcW w:type="dxa" w:w="5090"/>
          </w:tcPr>
          <w:p>
            <w:pPr>
              <w:spacing w:after="0" w:line="216" w:lineRule="auto"/>
              <w:jc w:val="right"/>
              <w:bidi w:val="1"/>
            </w:pPr>
            <w:r>
              <w:rPr>
                <w:rFonts w:ascii="Arial" w:hAnsi="Arial" w:cs="Arial"/>
                <w:b w:val="0"/>
                <w:i w:val="0"/>
                <w:sz w:val="15"/>
              </w:rPr>
              <w:t>لا عنيفاً أو متسلطاً أو سريع الغضب أو خصامياً.</w:t>
            </w:r>
          </w:p>
        </w:tc>
      </w:tr>
      <w:tr>
        <w:trPr>
          <w:cantSplit/>
        </w:trPr>
        <w:tc>
          <w:tcPr>
            <w:tcW w:type="dxa" w:w="5090"/>
          </w:tcPr>
          <w:p>
            <w:pPr>
              <w:spacing w:after="0" w:line="216" w:lineRule="auto"/>
              <w:jc w:val="right"/>
              <w:bidi w:val="1"/>
            </w:pPr>
            <w:r>
              <w:rPr>
                <w:rFonts w:ascii="Arial" w:hAnsi="Arial" w:cs="Arial"/>
                <w:b w:val="0"/>
                <w:i w:val="0"/>
                <w:sz w:val="15"/>
              </w:rPr>
              <w:t>مضيفاً ومهتماً</w:t>
            </w:r>
          </w:p>
        </w:tc>
        <w:tc>
          <w:tcPr>
            <w:tcW w:type="dxa" w:w="5090"/>
          </w:tcPr>
          <w:p>
            <w:pPr>
              <w:spacing w:after="0" w:line="216" w:lineRule="auto"/>
              <w:jc w:val="right"/>
              <w:bidi w:val="1"/>
            </w:pPr>
            <w:r>
              <w:rPr>
                <w:rFonts w:ascii="Arial" w:hAnsi="Arial" w:cs="Arial"/>
                <w:b w:val="0"/>
                <w:i w:val="0"/>
                <w:sz w:val="15"/>
              </w:rPr>
              <w:t>يسهل الاقتراب منه ومستعد للمساعدة ويهتم بالناس.</w:t>
            </w:r>
          </w:p>
        </w:tc>
      </w:tr>
      <w:tr>
        <w:trPr>
          <w:cantSplit/>
        </w:trPr>
        <w:tc>
          <w:tcPr>
            <w:tcW w:type="dxa" w:w="5090"/>
          </w:tcPr>
          <w:p>
            <w:pPr>
              <w:spacing w:after="0" w:line="216" w:lineRule="auto"/>
              <w:jc w:val="right"/>
              <w:bidi w:val="1"/>
            </w:pPr>
            <w:r>
              <w:rPr>
                <w:rFonts w:ascii="Arial" w:hAnsi="Arial" w:cs="Arial"/>
                <w:b w:val="0"/>
                <w:i w:val="0"/>
                <w:sz w:val="15"/>
              </w:rPr>
              <w:t>بعيداً عن الطمع</w:t>
            </w:r>
          </w:p>
        </w:tc>
        <w:tc>
          <w:tcPr>
            <w:tcW w:type="dxa" w:w="5090"/>
          </w:tcPr>
          <w:p>
            <w:pPr>
              <w:spacing w:after="0" w:line="216" w:lineRule="auto"/>
              <w:jc w:val="right"/>
              <w:bidi w:val="1"/>
            </w:pPr>
            <w:r>
              <w:rPr>
                <w:rFonts w:ascii="Arial" w:hAnsi="Arial" w:cs="Arial"/>
                <w:b w:val="0"/>
                <w:i w:val="0"/>
                <w:sz w:val="15"/>
              </w:rPr>
              <w:t>لا تُستخدم مسؤولية الإكليسيا للربح المالي الشخصي.</w:t>
            </w:r>
          </w:p>
        </w:tc>
      </w:tr>
      <w:tr>
        <w:trPr>
          <w:cantSplit/>
        </w:trPr>
        <w:tc>
          <w:tcPr>
            <w:tcW w:type="dxa" w:w="5090"/>
          </w:tcPr>
          <w:p>
            <w:pPr>
              <w:spacing w:after="0" w:line="216" w:lineRule="auto"/>
              <w:jc w:val="right"/>
              <w:bidi w:val="1"/>
            </w:pPr>
            <w:r>
              <w:rPr>
                <w:rFonts w:ascii="Arial" w:hAnsi="Arial" w:cs="Arial"/>
                <w:b w:val="0"/>
                <w:i w:val="0"/>
                <w:sz w:val="15"/>
              </w:rPr>
              <w:t>ناضجاً روحياً</w:t>
            </w:r>
          </w:p>
        </w:tc>
        <w:tc>
          <w:tcPr>
            <w:tcW w:type="dxa" w:w="5090"/>
          </w:tcPr>
          <w:p>
            <w:pPr>
              <w:spacing w:after="0" w:line="216" w:lineRule="auto"/>
              <w:jc w:val="right"/>
              <w:bidi w:val="1"/>
            </w:pPr>
            <w:r>
              <w:rPr>
                <w:rFonts w:ascii="Arial" w:hAnsi="Arial" w:cs="Arial"/>
                <w:b w:val="0"/>
                <w:i w:val="0"/>
                <w:sz w:val="15"/>
              </w:rPr>
              <w:t>ليس حديث الإيمان مدفوعاً بالكبرياء، بل مثالاً ثابتاً للقطيع.</w:t>
            </w:r>
          </w:p>
        </w:tc>
      </w:tr>
    </w:tbl>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«ارعوا رعية الله التي بينكم نظاراً لا عن اضطرار بل بالاختيار، ولا لربح قبيح بل بنشاط، ولا كمن يسود على الأنصبة، بل صائرين أمثلة للرعية.»</w:t>
            </w:r>
          </w:p>
          <w:p>
            <w:pPr>
              <w:spacing w:after="0"/>
              <w:jc w:val="right"/>
              <w:bidi w:val="1"/>
            </w:pPr>
            <w:r>
              <w:rPr>
                <w:rFonts w:ascii="Arial" w:hAnsi="Arial" w:cs="Arial"/>
                <w:b/>
                <w:i w:val="0"/>
                <w:color w:val="333333"/>
                <w:sz w:val="17"/>
              </w:rPr>
              <w:t>بطرس الأولى 5:2-3  •  King James Version</w:t>
            </w:r>
          </w:p>
        </w:tc>
      </w:tr>
    </w:tbl>
    <w:p>
      <w:pPr>
        <w:spacing w:before="52" w:after="16"/>
        <w:jc w:val="right"/>
        <w:keepNext/>
        <w:bidi w:val="1"/>
      </w:pPr>
      <w:r>
        <w:rPr>
          <w:rFonts w:ascii="Arial" w:hAnsi="Arial" w:cs="Arial"/>
          <w:b/>
          <w:i w:val="0"/>
          <w:color w:val="1F4E79"/>
          <w:sz w:val="24"/>
        </w:rPr>
        <w:t>الإخوة والأخوات في حياة الإكليسيا</w:t>
      </w:r>
    </w:p>
    <w:p>
      <w:pPr>
        <w:spacing w:after="22" w:line="226" w:lineRule="auto"/>
        <w:jc w:val="right"/>
        <w:bidi w:val="1"/>
      </w:pPr>
      <w:r>
        <w:rPr>
          <w:rFonts w:ascii="Arial" w:hAnsi="Arial" w:cs="Arial"/>
          <w:b w:val="0"/>
          <w:i w:val="0"/>
          <w:sz w:val="19"/>
        </w:rPr>
        <w:t>الإخوة والأخوات أعضاء متساوون في الجسد الواحد في المسيح. ويحتوي العهد الجديد أيضاً توجيهات عن النظام في العبادة العامة. يفهم التقليد الكريستادلفي تيموثاوس الأولى 2:8-15 بأنه يسند التعليم العام وقيادة الجماعة المختلطة إلى إخوة مؤهلين، بينما تسهم الأخوات إسهامات أساسية في تعليم الأطفال والنساء الأخريات، والضيافة، والرعاية، والخدمة العملية، والموسيقى حيث يناسب، والإدارة، والتشجيع، والمثال الأمين.</w:t>
      </w:r>
    </w:p>
    <w:p>
      <w:pPr>
        <w:spacing w:after="22" w:line="226" w:lineRule="auto"/>
        <w:jc w:val="right"/>
        <w:bidi w:val="1"/>
      </w:pPr>
      <w:r>
        <w:rPr>
          <w:rFonts w:ascii="Arial" w:hAnsi="Arial" w:cs="Arial"/>
          <w:b w:val="0"/>
          <w:i w:val="0"/>
          <w:sz w:val="19"/>
        </w:rPr>
        <w:t>ويفهم الكريستادلفيان تقليدياً كورنثوس الأولى 11 على أن الإخوة يصلون والرأس غير مغطى، والأخوات يغطين رؤوسهن أثناء صلاة الإكليسيا وعبادتها. ولا ينبغي أبداً استخدام هذه الممارسات للإيحاء بأن الأخوات أقل قيمة روحياً؛ فغلاطية 3:28 أساسي: الجميع واحد في المسيح يسوع.</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القيادة في إكليسيا المسيح</w:t>
            </w:r>
          </w:p>
          <w:p>
            <w:pPr>
              <w:spacing w:after="0" w:line="221" w:lineRule="auto"/>
              <w:jc w:val="right"/>
              <w:bidi w:val="1"/>
            </w:pPr>
            <w:r>
              <w:rPr>
                <w:rFonts w:ascii="Arial" w:hAnsi="Arial" w:cs="Arial"/>
                <w:b w:val="0"/>
                <w:i w:val="0"/>
                <w:sz w:val="18"/>
              </w:rPr>
              <w:t>تُقاس القيادة الكتابية بالأمانة والشخصية والتعليم والخدمة — لا بالقوة أو الشخصية أو الثروة أو المكانة الاجتماعية.</w:t>
            </w:r>
          </w:p>
        </w:tc>
      </w:tr>
    </w:tbl>
    <w:p>
      <w:pPr>
        <w:spacing w:before="52" w:after="16"/>
        <w:jc w:val="right"/>
        <w:keepNext/>
        <w:bidi w:val="1"/>
      </w:pPr>
      <w:r>
        <w:rPr>
          <w:rFonts w:ascii="Arial" w:hAnsi="Arial" w:cs="Arial"/>
          <w:b/>
          <w:i w:val="0"/>
          <w:color w:val="1F4E79"/>
          <w:sz w:val="24"/>
        </w:rPr>
        <w:t>حياة إكليسيا صحية</w:t>
      </w:r>
    </w:p>
    <w:p>
      <w:pPr>
        <w:spacing w:after="22" w:line="226" w:lineRule="auto"/>
        <w:jc w:val="right"/>
        <w:bidi w:val="1"/>
      </w:pPr>
      <w:r>
        <w:rPr>
          <w:rFonts w:ascii="Arial" w:hAnsi="Arial" w:cs="Arial"/>
          <w:b w:val="0"/>
          <w:i w:val="0"/>
          <w:sz w:val="19"/>
        </w:rPr>
        <w:t>أصاب الدرس الأصلي حين أكد أن الإكليسيا ينبغي أن تفعل أكثر من عقد اجتماع أسبوعي واحد. الهدف جماعة يتذكر فيها المؤمنون المسيح، ويتعلمون الكتاب، ويكرزون بالإنجيل، ويرعون بعضهم بعضاً، وينمون معاً نحو الملكوت.</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نشاط الإكليسيا</w:t>
            </w:r>
          </w:p>
        </w:tc>
        <w:tc>
          <w:tcPr>
            <w:tcW w:type="dxa" w:w="5090"/>
            <w:shd w:fill="D9EAF7"/>
          </w:tcPr>
          <w:p>
            <w:pPr>
              <w:jc w:val="center"/>
              <w:keepNext/>
              <w:bidi w:val="1"/>
            </w:pPr>
            <w:r>
              <w:rPr>
                <w:rFonts w:ascii="Arial" w:hAnsi="Arial" w:cs="Arial"/>
                <w:b/>
                <w:i w:val="0"/>
                <w:color w:val="1F4E79"/>
                <w:sz w:val="15"/>
              </w:rPr>
              <w:t>الغرض</w:t>
            </w:r>
          </w:p>
        </w:tc>
      </w:tr>
      <w:tr>
        <w:trPr>
          <w:cantSplit/>
        </w:trPr>
        <w:tc>
          <w:tcPr>
            <w:tcW w:type="dxa" w:w="5090"/>
          </w:tcPr>
          <w:p>
            <w:pPr>
              <w:spacing w:after="0" w:line="216" w:lineRule="auto"/>
              <w:jc w:val="right"/>
              <w:bidi w:val="1"/>
            </w:pPr>
            <w:r>
              <w:rPr>
                <w:rFonts w:ascii="Arial" w:hAnsi="Arial" w:cs="Arial"/>
                <w:b w:val="0"/>
                <w:i w:val="0"/>
                <w:sz w:val="15"/>
              </w:rPr>
              <w:t>كسر الخبز</w:t>
            </w:r>
          </w:p>
        </w:tc>
        <w:tc>
          <w:tcPr>
            <w:tcW w:type="dxa" w:w="5090"/>
          </w:tcPr>
          <w:p>
            <w:pPr>
              <w:spacing w:after="0" w:line="216" w:lineRule="auto"/>
              <w:jc w:val="right"/>
              <w:bidi w:val="1"/>
            </w:pPr>
            <w:r>
              <w:rPr>
                <w:rFonts w:ascii="Arial" w:hAnsi="Arial" w:cs="Arial"/>
                <w:b w:val="0"/>
                <w:i w:val="0"/>
                <w:sz w:val="15"/>
              </w:rPr>
              <w:t>تذكر الرب يسوع في الخبز والخمر وإعلان موته «إلى أن يجيء» (كورنثوس الأولى 11:26).</w:t>
            </w:r>
          </w:p>
        </w:tc>
      </w:tr>
      <w:tr>
        <w:trPr>
          <w:cantSplit/>
        </w:trPr>
        <w:tc>
          <w:tcPr>
            <w:tcW w:type="dxa" w:w="5090"/>
          </w:tcPr>
          <w:p>
            <w:pPr>
              <w:spacing w:after="0" w:line="216" w:lineRule="auto"/>
              <w:jc w:val="right"/>
              <w:bidi w:val="1"/>
            </w:pPr>
            <w:r>
              <w:rPr>
                <w:rFonts w:ascii="Arial" w:hAnsi="Arial" w:cs="Arial"/>
                <w:b w:val="0"/>
                <w:i w:val="0"/>
                <w:sz w:val="15"/>
              </w:rPr>
              <w:t>درس / فئة الكتاب</w:t>
            </w:r>
          </w:p>
        </w:tc>
        <w:tc>
          <w:tcPr>
            <w:tcW w:type="dxa" w:w="5090"/>
          </w:tcPr>
          <w:p>
            <w:pPr>
              <w:spacing w:after="0" w:line="216" w:lineRule="auto"/>
              <w:jc w:val="right"/>
              <w:bidi w:val="1"/>
            </w:pPr>
            <w:r>
              <w:rPr>
                <w:rFonts w:ascii="Arial" w:hAnsi="Arial" w:cs="Arial"/>
                <w:b w:val="0"/>
                <w:i w:val="0"/>
                <w:sz w:val="15"/>
              </w:rPr>
              <w:t>التقدم وراء المبادئ الأولى والنمو في فهم كل مشورة الله.</w:t>
            </w:r>
          </w:p>
        </w:tc>
      </w:tr>
      <w:tr>
        <w:trPr>
          <w:cantSplit/>
        </w:trPr>
        <w:tc>
          <w:tcPr>
            <w:tcW w:type="dxa" w:w="5090"/>
          </w:tcPr>
          <w:p>
            <w:pPr>
              <w:spacing w:after="0" w:line="216" w:lineRule="auto"/>
              <w:jc w:val="right"/>
              <w:bidi w:val="1"/>
            </w:pPr>
            <w:r>
              <w:rPr>
                <w:rFonts w:ascii="Arial" w:hAnsi="Arial" w:cs="Arial"/>
                <w:b w:val="0"/>
                <w:i w:val="0"/>
                <w:sz w:val="15"/>
              </w:rPr>
              <w:t>الكرازة بالإنجيل</w:t>
            </w:r>
          </w:p>
        </w:tc>
        <w:tc>
          <w:tcPr>
            <w:tcW w:type="dxa" w:w="5090"/>
          </w:tcPr>
          <w:p>
            <w:pPr>
              <w:spacing w:after="0" w:line="216" w:lineRule="auto"/>
              <w:jc w:val="right"/>
              <w:bidi w:val="1"/>
            </w:pPr>
            <w:r>
              <w:rPr>
                <w:rFonts w:ascii="Arial" w:hAnsi="Arial" w:cs="Arial"/>
                <w:b w:val="0"/>
                <w:i w:val="0"/>
                <w:sz w:val="15"/>
              </w:rPr>
              <w:t>مشاركة رجاء مملكة الله واسم يسوع المسيح مع الآخرين.</w:t>
            </w:r>
          </w:p>
        </w:tc>
      </w:tr>
      <w:tr>
        <w:trPr>
          <w:cantSplit/>
        </w:trPr>
        <w:tc>
          <w:tcPr>
            <w:tcW w:type="dxa" w:w="5090"/>
          </w:tcPr>
          <w:p>
            <w:pPr>
              <w:spacing w:after="0" w:line="216" w:lineRule="auto"/>
              <w:jc w:val="right"/>
              <w:bidi w:val="1"/>
            </w:pPr>
            <w:r>
              <w:rPr>
                <w:rFonts w:ascii="Arial" w:hAnsi="Arial" w:cs="Arial"/>
                <w:b w:val="0"/>
                <w:i w:val="0"/>
                <w:sz w:val="15"/>
              </w:rPr>
              <w:t>الرعاية والتنظيم</w:t>
            </w:r>
          </w:p>
        </w:tc>
        <w:tc>
          <w:tcPr>
            <w:tcW w:type="dxa" w:w="5090"/>
          </w:tcPr>
          <w:p>
            <w:pPr>
              <w:spacing w:after="0" w:line="216" w:lineRule="auto"/>
              <w:jc w:val="right"/>
              <w:bidi w:val="1"/>
            </w:pPr>
            <w:r>
              <w:rPr>
                <w:rFonts w:ascii="Arial" w:hAnsi="Arial" w:cs="Arial"/>
                <w:b w:val="0"/>
                <w:i w:val="0"/>
                <w:sz w:val="15"/>
              </w:rPr>
              <w:t>رعاية الأعضاء وترتيب عمل الإكليسيا بعدل وسلام.</w:t>
            </w:r>
          </w:p>
        </w:tc>
      </w:tr>
      <w:tr>
        <w:trPr>
          <w:cantSplit/>
        </w:trPr>
        <w:tc>
          <w:tcPr>
            <w:tcW w:type="dxa" w:w="5090"/>
          </w:tcPr>
          <w:p>
            <w:pPr>
              <w:spacing w:after="0" w:line="216" w:lineRule="auto"/>
              <w:jc w:val="right"/>
              <w:bidi w:val="1"/>
            </w:pPr>
            <w:r>
              <w:rPr>
                <w:rFonts w:ascii="Arial" w:hAnsi="Arial" w:cs="Arial"/>
                <w:b w:val="0"/>
                <w:i w:val="0"/>
                <w:sz w:val="15"/>
              </w:rPr>
              <w:t>الأطفال والعائلات</w:t>
            </w:r>
          </w:p>
        </w:tc>
        <w:tc>
          <w:tcPr>
            <w:tcW w:type="dxa" w:w="5090"/>
          </w:tcPr>
          <w:p>
            <w:pPr>
              <w:spacing w:after="0" w:line="216" w:lineRule="auto"/>
              <w:jc w:val="right"/>
              <w:bidi w:val="1"/>
            </w:pPr>
            <w:r>
              <w:rPr>
                <w:rFonts w:ascii="Arial" w:hAnsi="Arial" w:cs="Arial"/>
                <w:b w:val="0"/>
                <w:i w:val="0"/>
                <w:sz w:val="15"/>
              </w:rPr>
              <w:t>مساعدة الجيل التالي على معرفة الكتاب ورؤية التلمذة تُعاش عملياً.</w:t>
            </w:r>
          </w:p>
        </w:tc>
      </w:tr>
    </w:tbl>
    <w:p>
      <w:pPr>
        <w:spacing w:before="52" w:after="16"/>
        <w:jc w:val="right"/>
        <w:keepNext/>
        <w:bidi w:val="1"/>
      </w:pPr>
      <w:r>
        <w:rPr>
          <w:rFonts w:ascii="Arial" w:hAnsi="Arial" w:cs="Arial"/>
          <w:b/>
          <w:i w:val="0"/>
          <w:color w:val="1F4E79"/>
          <w:sz w:val="24"/>
        </w:rPr>
        <w:t>خدمة تذكارية بسيطة</w:t>
      </w:r>
    </w:p>
    <w:p>
      <w:pPr>
        <w:spacing w:after="22" w:line="226" w:lineRule="auto"/>
        <w:jc w:val="right"/>
        <w:bidi w:val="1"/>
      </w:pPr>
      <w:r>
        <w:rPr>
          <w:rFonts w:ascii="Arial" w:hAnsi="Arial" w:cs="Arial"/>
          <w:b w:val="0"/>
          <w:i w:val="0"/>
          <w:sz w:val="19"/>
        </w:rPr>
        <w:t>يمكن أن يختلف الترتيب الدقيق من مكان إلى آخر. ويشمل اجتماع كسر الخبز الكريستادلفي عادة: ترنيمة وصلاة افتتاحية وقراءات من الكتاب؛ ثم موعظة مبنية على الكتاب؛ ثم صلاة وتقاسم الخبز لذكر المسيح؛ وصلاة وتقاسم الخمر لذكر دمه المسفوك؛ ثم ترانيم أو إعلانات أو جمع تبرعات بحسب الترتيب المحلي، وصلاة ختامية.</w:t>
      </w:r>
    </w:p>
    <w:p>
      <w:pPr>
        <w:spacing w:before="52" w:after="16"/>
        <w:jc w:val="right"/>
        <w:keepNext/>
        <w:bidi w:val="1"/>
      </w:pPr>
      <w:r>
        <w:rPr>
          <w:rFonts w:ascii="Arial" w:hAnsi="Arial" w:cs="Arial"/>
          <w:b/>
          <w:i w:val="0"/>
          <w:color w:val="1F4E79"/>
          <w:sz w:val="24"/>
        </w:rPr>
        <w:t>النمو معاً في المحبة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«صادقين في المحبة ننمو في كل شيء إلى ذاك الذي هو الرأس: المسيح، الذي منه كل الجسد مركباً معاً ومقترناً ... ينشئ نمو الجسد لبنيانه في المحبة.»</w:t>
            </w:r>
          </w:p>
          <w:p>
            <w:pPr>
              <w:spacing w:after="0"/>
              <w:jc w:val="right"/>
              <w:bidi w:val="1"/>
            </w:pPr>
            <w:r>
              <w:rPr>
                <w:rFonts w:ascii="Arial" w:hAnsi="Arial" w:cs="Arial"/>
                <w:b/>
                <w:i w:val="0"/>
                <w:color w:val="333333"/>
                <w:sz w:val="17"/>
              </w:rPr>
              <w:t>أفسس 4:15-16  •  King James Version</w:t>
            </w:r>
          </w:p>
        </w:tc>
      </w:tr>
    </w:tbl>
    <w:p>
      <w:pPr>
        <w:spacing w:before="52" w:after="16"/>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1</w:t>
            </w:r>
          </w:p>
        </w:tc>
        <w:tc>
          <w:tcPr>
            <w:tcW w:type="dxa" w:w="5090"/>
          </w:tcPr>
          <w:p>
            <w:pPr>
              <w:spacing w:after="0"/>
              <w:jc w:val="right"/>
              <w:bidi w:val="1"/>
            </w:pPr>
            <w:r>
              <w:rPr>
                <w:rFonts w:ascii="Arial" w:hAnsi="Arial" w:cs="Arial"/>
                <w:b/>
                <w:i w:val="0"/>
                <w:color w:val="1F4E79"/>
                <w:sz w:val="18"/>
              </w:rPr>
              <w:t>الإكليسيا هي الناس لا المبنى.</w:t>
            </w:r>
          </w:p>
          <w:p>
            <w:pPr>
              <w:spacing w:after="0" w:line="216" w:lineRule="auto"/>
              <w:jc w:val="right"/>
              <w:bidi w:val="1"/>
            </w:pPr>
            <w:r>
              <w:rPr>
                <w:rFonts w:ascii="Arial" w:hAnsi="Arial" w:cs="Arial"/>
                <w:b w:val="0"/>
                <w:i w:val="0"/>
                <w:sz w:val="17"/>
              </w:rPr>
              <w:t>إنها جماعة مجتمعة حول المسيح.</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2</w:t>
            </w:r>
          </w:p>
        </w:tc>
        <w:tc>
          <w:tcPr>
            <w:tcW w:type="dxa" w:w="5090"/>
          </w:tcPr>
          <w:p>
            <w:pPr>
              <w:spacing w:after="0"/>
              <w:jc w:val="right"/>
              <w:bidi w:val="1"/>
            </w:pPr>
            <w:r>
              <w:rPr>
                <w:rFonts w:ascii="Arial" w:hAnsi="Arial" w:cs="Arial"/>
                <w:b/>
                <w:i w:val="0"/>
                <w:color w:val="1F4E79"/>
                <w:sz w:val="18"/>
              </w:rPr>
              <w:t>المؤمنون جسد واحد.</w:t>
            </w:r>
          </w:p>
          <w:p>
            <w:pPr>
              <w:spacing w:after="0" w:line="216" w:lineRule="auto"/>
              <w:jc w:val="right"/>
              <w:bidi w:val="1"/>
            </w:pPr>
            <w:r>
              <w:rPr>
                <w:rFonts w:ascii="Arial" w:hAnsi="Arial" w:cs="Arial"/>
                <w:b w:val="0"/>
                <w:i w:val="0"/>
                <w:sz w:val="17"/>
              </w:rPr>
              <w:t>المسيح هو الرأس، ولكل عضو أمين دور نافع.</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3</w:t>
            </w:r>
          </w:p>
        </w:tc>
        <w:tc>
          <w:tcPr>
            <w:tcW w:type="dxa" w:w="5090"/>
          </w:tcPr>
          <w:p>
            <w:pPr>
              <w:spacing w:after="0"/>
              <w:jc w:val="right"/>
              <w:bidi w:val="1"/>
            </w:pPr>
            <w:r>
              <w:rPr>
                <w:rFonts w:ascii="Arial" w:hAnsi="Arial" w:cs="Arial"/>
                <w:b/>
                <w:i w:val="0"/>
                <w:color w:val="1F4E79"/>
                <w:sz w:val="18"/>
              </w:rPr>
              <w:t>التنظيم يخدم الأهداف الروحية.</w:t>
            </w:r>
          </w:p>
          <w:p>
            <w:pPr>
              <w:spacing w:after="0" w:line="216" w:lineRule="auto"/>
              <w:jc w:val="right"/>
              <w:bidi w:val="1"/>
            </w:pPr>
            <w:r>
              <w:rPr>
                <w:rFonts w:ascii="Arial" w:hAnsi="Arial" w:cs="Arial"/>
                <w:b w:val="0"/>
                <w:i w:val="0"/>
                <w:sz w:val="17"/>
              </w:rPr>
              <w:t>يضع أعمال 6 وأعمال 15 الكتاب والعدل والخدمة والسلام في المركز.</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4</w:t>
            </w:r>
          </w:p>
        </w:tc>
        <w:tc>
          <w:tcPr>
            <w:tcW w:type="dxa" w:w="5090"/>
          </w:tcPr>
          <w:p>
            <w:pPr>
              <w:spacing w:after="0"/>
              <w:jc w:val="right"/>
              <w:bidi w:val="1"/>
            </w:pPr>
            <w:r>
              <w:rPr>
                <w:rFonts w:ascii="Arial" w:hAnsi="Arial" w:cs="Arial"/>
                <w:b/>
                <w:i w:val="0"/>
                <w:color w:val="1F4E79"/>
                <w:sz w:val="18"/>
              </w:rPr>
              <w:t>الشيوخ خدام وأمثلة.</w:t>
            </w:r>
          </w:p>
          <w:p>
            <w:pPr>
              <w:spacing w:after="0" w:line="216" w:lineRule="auto"/>
              <w:jc w:val="right"/>
              <w:bidi w:val="1"/>
            </w:pPr>
            <w:r>
              <w:rPr>
                <w:rFonts w:ascii="Arial" w:hAnsi="Arial" w:cs="Arial"/>
                <w:b w:val="0"/>
                <w:i w:val="0"/>
                <w:sz w:val="17"/>
              </w:rPr>
              <w:t>تتميز القيادة بالتعليم السليم والنضج واللطف والنزاهة.</w:t>
            </w:r>
          </w:p>
        </w:tc>
      </w:tr>
    </w:tbl>
    <w:p>
      <w:pPr>
        <w:spacing w:before="52" w:after="16"/>
        <w:jc w:val="right"/>
        <w:keepNext/>
        <w:bidi w:val="1"/>
      </w:pPr>
      <w:r>
        <w:rPr>
          <w:rFonts w:ascii="Arial" w:hAnsi="Arial" w:cs="Arial"/>
          <w:b/>
          <w:i w:val="0"/>
          <w:color w:val="1F4E79"/>
          <w:sz w:val="24"/>
        </w:rPr>
        <w:t>فصول للقراءة</w:t>
      </w:r>
    </w:p>
    <w:p>
      <w:pPr>
        <w:spacing w:after="22" w:line="226" w:lineRule="auto"/>
        <w:jc w:val="right"/>
        <w:bidi w:val="1"/>
      </w:pPr>
      <w:r>
        <w:rPr>
          <w:rFonts w:ascii="Arial" w:hAnsi="Arial" w:cs="Arial"/>
          <w:b w:val="0"/>
          <w:i w:val="0"/>
          <w:sz w:val="19"/>
        </w:rPr>
        <w:t>أعمال 6  •  أعمال 15  •  كورنثوس الأولى 12  •  أفسس 4  •  تيموثاوس الأولى 3</w:t>
      </w:r>
    </w:p>
    <w:p>
      <w:pPr>
        <w:spacing w:before="52" w:after="16"/>
        <w:jc w:val="right"/>
        <w:keepNext/>
        <w:bidi w:val="1"/>
      </w:pPr>
      <w:r>
        <w:rPr>
          <w:rFonts w:ascii="Arial" w:hAnsi="Arial" w:cs="Arial"/>
          <w:b/>
          <w:i w:val="0"/>
          <w:color w:val="1F4E79"/>
          <w:sz w:val="24"/>
        </w:rPr>
        <w:t>للحفظ  •  كورنثوس الأولى 12:27</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«وأما أنتم فجسد المسيح وأعضاؤه أفراداً.»</w:t>
            </w:r>
          </w:p>
          <w:p>
            <w:pPr>
              <w:spacing w:after="0"/>
              <w:jc w:val="right"/>
              <w:bidi w:val="1"/>
            </w:pPr>
            <w:r>
              <w:rPr>
                <w:rFonts w:ascii="Arial" w:hAnsi="Arial" w:cs="Arial"/>
                <w:b/>
                <w:i w:val="0"/>
                <w:color w:val="333333"/>
                <w:sz w:val="17"/>
              </w:rPr>
              <w:t>كورنثوس الأولى 12:27  •  King James Version</w:t>
            </w:r>
          </w:p>
        </w:tc>
      </w:tr>
    </w:tbl>
    <w:sectPr w:rsidR="00FC693F" w:rsidRPr="0006063C" w:rsidSect="00034616">
      <w:headerReference w:type="default" r:id="rId9"/>
      <w:footerReference w:type="default" r:id="rId10"/>
      <w:pgSz w:w="11909" w:h="16834"/>
      <w:pgMar w:top="634"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