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47</w:t>
      </w:r>
    </w:p>
    <w:p>
      <w:pPr>
        <w:jc w:val="center"/>
        <w:bidi w:val="1"/>
      </w:pPr>
      <w:r>
        <w:rPr>
          <w:rFonts w:ascii="Arial" w:hAnsi="Arial" w:cs="Arial"/>
          <w:b/>
          <w:i w:val="0"/>
          <w:color w:val="1F4E79"/>
          <w:sz w:val="35"/>
        </w:rPr>
        <w:t>تعليم الكتاب عن المعاناة</w:t>
      </w:r>
    </w:p>
    <w:p>
      <w:pPr>
        <w:spacing w:after="70"/>
        <w:jc w:val="center"/>
        <w:bidi w:val="1"/>
      </w:pPr>
      <w:r>
        <w:rPr>
          <w:rFonts w:ascii="Arial" w:hAnsi="Arial" w:cs="Arial"/>
          <w:b/>
          <w:i w:val="0"/>
          <w:color w:val="333333"/>
          <w:sz w:val="19"/>
        </w:rPr>
        <w:t>القراءة  •  العبرانيين 12</w:t>
      </w:r>
    </w:p>
    <w:p>
      <w:pPr>
        <w:spacing w:before="56" w:after="16"/>
        <w:jc w:val="right"/>
        <w:keepNext/>
        <w:bidi w:val="1"/>
      </w:pPr>
      <w:r>
        <w:rPr>
          <w:rFonts w:ascii="Arial" w:hAnsi="Arial" w:cs="Arial"/>
          <w:b/>
          <w:i w:val="0"/>
          <w:color w:val="1F4E79"/>
          <w:sz w:val="23"/>
        </w:rPr>
        <w:t>سؤال صعب</w:t>
      </w:r>
    </w:p>
    <w:p>
      <w:pPr>
        <w:spacing w:after="24" w:line="235" w:lineRule="auto"/>
        <w:jc w:val="right"/>
        <w:bidi w:val="1"/>
      </w:pPr>
      <w:r>
        <w:rPr>
          <w:rFonts w:ascii="Arial" w:hAnsi="Arial" w:cs="Arial"/>
          <w:b w:val="0"/>
          <w:i w:val="0"/>
          <w:sz w:val="18"/>
        </w:rPr>
        <w:t>يمكن أن تمس المعاناة أي إنسان. فالمرض والإعاقة والحزن والعنف والكوارث وخيبة الأمل تثير كثيراً سؤال: «لماذا يسمح الله بهذا؟» لا يعطي الكتاب تفسيراً بسيطاً واحداً لكل حالة فردية، لكنه يقدم مبادئ تساعدنا على مواجهة المعاناة بالإيمان بدلاً من الخرافة أو اليأس.</w:t>
      </w:r>
    </w:p>
    <w:p>
      <w:pPr>
        <w:spacing w:before="56" w:after="16"/>
        <w:jc w:val="right"/>
        <w:keepNext/>
        <w:bidi w:val="1"/>
      </w:pPr>
      <w:r>
        <w:rPr>
          <w:rFonts w:ascii="Arial" w:hAnsi="Arial" w:cs="Arial"/>
          <w:b/>
          <w:i w:val="0"/>
          <w:color w:val="1F4E79"/>
          <w:sz w:val="23"/>
        </w:rPr>
        <w:t>لماذا توجد المعاناة؟</w:t>
      </w:r>
    </w:p>
    <w:p>
      <w:pPr>
        <w:spacing w:after="24" w:line="235" w:lineRule="auto"/>
        <w:jc w:val="right"/>
        <w:bidi w:val="1"/>
      </w:pPr>
      <w:r>
        <w:rPr>
          <w:rFonts w:ascii="Arial" w:hAnsi="Arial" w:cs="Arial"/>
          <w:b w:val="0"/>
          <w:i w:val="0"/>
          <w:sz w:val="18"/>
        </w:rPr>
        <w:t>يبدأ الدرس بحقيقة أن الحياة البشرية الآن مائتة وصعبة. يصف التكوين 3 النتائج التي أعقبت عصيان الإنسان في عدن. ومنذ ذلك الوقت صار الألم والتعب والموت جزءاً من الخبرة البشرية العادية.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مصدر للمعاناة</w:t>
            </w:r>
          </w:p>
        </w:tc>
        <w:tc>
          <w:tcPr>
            <w:tcW w:type="dxa" w:w="5090"/>
            <w:shd w:fill="D9EAF7"/>
          </w:tcPr>
          <w:p>
            <w:pPr>
              <w:jc w:val="center"/>
              <w:keepNext/>
              <w:bidi w:val="1"/>
            </w:pPr>
            <w:r>
              <w:rPr>
                <w:rFonts w:ascii="Arial" w:hAnsi="Arial" w:cs="Arial"/>
                <w:b/>
                <w:i w:val="0"/>
                <w:color w:val="1F4E79"/>
                <w:sz w:val="15"/>
              </w:rPr>
              <w:t>ما يساعدنا الكتاب أن نراه</w:t>
            </w:r>
          </w:p>
        </w:tc>
      </w:tr>
      <w:tr>
        <w:trPr>
          <w:cantSplit/>
        </w:trPr>
        <w:tc>
          <w:tcPr>
            <w:tcW w:type="dxa" w:w="5090"/>
          </w:tcPr>
          <w:p>
            <w:pPr>
              <w:spacing w:after="0"/>
              <w:jc w:val="right"/>
              <w:bidi w:val="1"/>
            </w:pPr>
            <w:r>
              <w:rPr>
                <w:rFonts w:ascii="Arial" w:hAnsi="Arial" w:cs="Arial"/>
                <w:b w:val="0"/>
                <w:i w:val="0"/>
                <w:sz w:val="15"/>
              </w:rPr>
              <w:t>المائتية البشرية</w:t>
            </w:r>
          </w:p>
        </w:tc>
        <w:tc>
          <w:tcPr>
            <w:tcW w:type="dxa" w:w="5090"/>
          </w:tcPr>
          <w:p>
            <w:pPr>
              <w:spacing w:after="0"/>
              <w:jc w:val="right"/>
              <w:bidi w:val="1"/>
            </w:pPr>
            <w:r>
              <w:rPr>
                <w:rFonts w:ascii="Arial" w:hAnsi="Arial" w:cs="Arial"/>
                <w:b w:val="0"/>
                <w:i w:val="0"/>
                <w:sz w:val="15"/>
              </w:rPr>
              <w:t>نعيش في أجساد مائتة في عالم يحدث فيه المرض والشيخوخة والموت. وليس كل مرض عقوبة خاصة على خطية بعينها.</w:t>
            </w:r>
          </w:p>
        </w:tc>
      </w:tr>
      <w:tr>
        <w:trPr>
          <w:cantSplit/>
        </w:trPr>
        <w:tc>
          <w:tcPr>
            <w:tcW w:type="dxa" w:w="5090"/>
          </w:tcPr>
          <w:p>
            <w:pPr>
              <w:spacing w:after="0"/>
              <w:jc w:val="right"/>
              <w:bidi w:val="1"/>
            </w:pPr>
            <w:r>
              <w:rPr>
                <w:rFonts w:ascii="Arial" w:hAnsi="Arial" w:cs="Arial"/>
                <w:b w:val="0"/>
                <w:i w:val="0"/>
                <w:sz w:val="15"/>
              </w:rPr>
              <w:t>قسوة البشر والاختيارات الخاطئة</w:t>
            </w:r>
          </w:p>
        </w:tc>
        <w:tc>
          <w:tcPr>
            <w:tcW w:type="dxa" w:w="5090"/>
          </w:tcPr>
          <w:p>
            <w:pPr>
              <w:spacing w:after="0"/>
              <w:jc w:val="right"/>
              <w:bidi w:val="1"/>
            </w:pPr>
            <w:r>
              <w:rPr>
                <w:rFonts w:ascii="Arial" w:hAnsi="Arial" w:cs="Arial"/>
                <w:b w:val="0"/>
                <w:i w:val="0"/>
                <w:sz w:val="15"/>
              </w:rPr>
              <w:t>كثير من الألم تسببه أعمال العنف والظلم والإهمال والأنانية ونتائج قرارات الأفراد أو المجتمعات أو الحكومات.</w:t>
            </w:r>
          </w:p>
        </w:tc>
      </w:tr>
      <w:tr>
        <w:trPr>
          <w:cantSplit/>
        </w:trPr>
        <w:tc>
          <w:tcPr>
            <w:tcW w:type="dxa" w:w="5090"/>
          </w:tcPr>
          <w:p>
            <w:pPr>
              <w:spacing w:after="0"/>
              <w:jc w:val="right"/>
              <w:bidi w:val="1"/>
            </w:pPr>
            <w:r>
              <w:rPr>
                <w:rFonts w:ascii="Arial" w:hAnsi="Arial" w:cs="Arial"/>
                <w:b w:val="0"/>
                <w:i w:val="0"/>
                <w:sz w:val="15"/>
              </w:rPr>
              <w:t>العالم الطبيعي</w:t>
            </w:r>
          </w:p>
        </w:tc>
        <w:tc>
          <w:tcPr>
            <w:tcW w:type="dxa" w:w="5090"/>
          </w:tcPr>
          <w:p>
            <w:pPr>
              <w:spacing w:after="0"/>
              <w:jc w:val="right"/>
              <w:bidi w:val="1"/>
            </w:pPr>
            <w:r>
              <w:rPr>
                <w:rFonts w:ascii="Arial" w:hAnsi="Arial" w:cs="Arial"/>
                <w:b w:val="0"/>
                <w:i w:val="0"/>
                <w:sz w:val="15"/>
              </w:rPr>
              <w:t>الزلازل والعواصف والجفاف والفيضانات وغيرها من الأحداث الطبيعية تؤثر في البشر دون اختيار الأشرار وحدهم. نحن نعيش في خليقة منظمة تعمل فيها قوانين طبيعية ثابتة.</w:t>
            </w:r>
          </w:p>
        </w:tc>
      </w:tr>
    </w:tbl>
    <w:p>
      <w:pPr>
        <w:spacing w:before="56" w:after="16"/>
        <w:jc w:val="right"/>
        <w:keepNext/>
        <w:bidi w:val="1"/>
      </w:pPr>
      <w:r>
        <w:rPr>
          <w:rFonts w:ascii="Arial" w:hAnsi="Arial" w:cs="Arial"/>
          <w:b/>
          <w:i w:val="0"/>
          <w:color w:val="1F4E79"/>
          <w:sz w:val="23"/>
        </w:rPr>
        <w:t>الكارثة ليست دليلاً على ذنب أكبر</w:t>
      </w:r>
    </w:p>
    <w:p>
      <w:pPr>
        <w:spacing w:after="24" w:line="235" w:lineRule="auto"/>
        <w:jc w:val="right"/>
        <w:bidi w:val="1"/>
      </w:pPr>
      <w:r>
        <w:rPr>
          <w:rFonts w:ascii="Arial" w:hAnsi="Arial" w:cs="Arial"/>
          <w:b w:val="0"/>
          <w:i w:val="0"/>
          <w:sz w:val="18"/>
        </w:rPr>
        <w:t>رفض يسوع مباشرة فكرة أن من يتعرض لكارثة لا بد أن يكون أشر من غيره. حين مات ثمانية عشر شخصاً بسقوط برج سلوام لم يطلب من سامعيه أن يتكهنوا بشأن الضحايا، بل أعاد التحذير إلى كل من بقي حياً.</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«أو أولئك الثمانية عشر الذين سقط عليهم البرج في سلوام وقتلهم، أتظنون أن هؤلاء كانوا مذنبين أكثر من جميع الناس الساكنين في أورشليم؟ كلا أقول لكم، بل إن لم تتوبوا فجميعكم كذلك تهلكون.»</w:t>
            </w:r>
          </w:p>
          <w:p>
            <w:pPr>
              <w:spacing w:after="0"/>
              <w:jc w:val="right"/>
              <w:bidi w:val="1"/>
            </w:pPr>
            <w:r>
              <w:rPr>
                <w:rFonts w:ascii="Arial" w:hAnsi="Arial" w:cs="Arial"/>
                <w:b/>
                <w:i w:val="0"/>
                <w:color w:val="333333"/>
                <w:sz w:val="16"/>
              </w:rPr>
              <w:t>لوقا 13:4-5  •  King James Version</w:t>
            </w:r>
          </w:p>
        </w:tc>
      </w:tr>
    </w:tbl>
    <w:p>
      <w:pPr>
        <w:spacing w:before="56" w:after="16"/>
        <w:jc w:val="right"/>
        <w:keepNext/>
        <w:bidi w:val="1"/>
      </w:pPr>
      <w:r>
        <w:rPr>
          <w:rFonts w:ascii="Arial" w:hAnsi="Arial" w:cs="Arial"/>
          <w:b/>
          <w:i w:val="0"/>
          <w:color w:val="1F4E79"/>
          <w:sz w:val="23"/>
        </w:rPr>
        <w:t>المعاناة ليست دائماً عقوبة</w:t>
      </w:r>
    </w:p>
    <w:p>
      <w:pPr>
        <w:spacing w:after="24" w:line="235" w:lineRule="auto"/>
        <w:jc w:val="right"/>
        <w:bidi w:val="1"/>
      </w:pPr>
      <w:r>
        <w:rPr>
          <w:rFonts w:ascii="Arial" w:hAnsi="Arial" w:cs="Arial"/>
          <w:b w:val="0"/>
          <w:i w:val="0"/>
          <w:sz w:val="18"/>
        </w:rPr>
        <w:t>يظهر المبدأ نفسه حين قابل يسوع رجلاً أعمى منذ ولادته. سأل التلاميذ أي خطية سببت العمى. رفض يسوع الاختيار البسيط الذي وضعوه أمامه.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«لا هذا أخطأ ولا أبواه، لكن لتظهر أعمال الله فيه.»</w:t>
            </w:r>
          </w:p>
          <w:p>
            <w:pPr>
              <w:spacing w:after="0"/>
              <w:jc w:val="right"/>
              <w:bidi w:val="1"/>
            </w:pPr>
            <w:r>
              <w:rPr>
                <w:rFonts w:ascii="Arial" w:hAnsi="Arial" w:cs="Arial"/>
                <w:b/>
                <w:i w:val="0"/>
                <w:color w:val="333333"/>
                <w:sz w:val="16"/>
              </w:rPr>
              <w:t>يوحنا 9:3  •  King James Version</w:t>
            </w:r>
          </w:p>
        </w:tc>
      </w:tr>
    </w:tbl>
    <w:p>
      <w:pPr>
        <w:spacing w:after="24" w:line="235" w:lineRule="auto"/>
        <w:jc w:val="right"/>
        <w:bidi w:val="1"/>
      </w:pPr>
      <w:r>
        <w:rPr>
          <w:rFonts w:ascii="Arial" w:hAnsi="Arial" w:cs="Arial"/>
          <w:b w:val="0"/>
          <w:i w:val="0"/>
          <w:sz w:val="18"/>
        </w:rPr>
        <w:t>لم يكن يسوع يقول إن الرجل أو أبويه لم يخطئوا في حياتهم قط، بل رفض افتراض أن هذه الإعاقة المعينة عقوبة مباشرة على خطية شخص بعينه.</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10"/>
              <w:jc w:val="right"/>
              <w:bidi w:val="1"/>
            </w:pPr>
            <w:r>
              <w:rPr>
                <w:rFonts w:ascii="Arial" w:hAnsi="Arial" w:cs="Arial"/>
                <w:b/>
                <w:i w:val="0"/>
                <w:color w:val="1F4E79"/>
                <w:sz w:val="19"/>
              </w:rPr>
              <w:t>لا تحوّل المعاناة إلى اتهام</w:t>
            </w:r>
          </w:p>
          <w:p>
            <w:pPr>
              <w:spacing w:after="0"/>
              <w:jc w:val="right"/>
              <w:bidi w:val="1"/>
            </w:pPr>
            <w:r>
              <w:rPr>
                <w:rFonts w:ascii="Arial" w:hAnsi="Arial" w:cs="Arial"/>
                <w:b w:val="0"/>
                <w:i w:val="0"/>
                <w:sz w:val="18"/>
              </w:rPr>
              <w:t>حين يمرض شخص أو يفقد عزيزاً أو يمر بضيق، لا ينبغي للتلميذ أن يقول: «لا بد أن الله يعاقبك». يحذرنا يسوع من هذا التفكير. وينبغي أن تكون استجابتنا الأولى الرحمة والمساعدة العملية والصلاة والتواضع.</w:t>
            </w:r>
          </w:p>
        </w:tc>
      </w:tr>
    </w:tbl>
    <w:p>
      <w:pPr>
        <w:spacing w:before="56" w:after="16"/>
        <w:jc w:val="right"/>
        <w:keepNext/>
        <w:bidi w:val="1"/>
      </w:pPr>
      <w:r>
        <w:rPr>
          <w:rFonts w:ascii="Arial" w:hAnsi="Arial" w:cs="Arial"/>
          <w:b/>
          <w:i w:val="0"/>
          <w:color w:val="1F4E79"/>
          <w:sz w:val="23"/>
        </w:rPr>
        <w:t>هل يستخدم الله التجارب لتدريبنا؟</w:t>
      </w:r>
    </w:p>
    <w:p>
      <w:pPr>
        <w:spacing w:after="24" w:line="235" w:lineRule="auto"/>
        <w:jc w:val="right"/>
        <w:bidi w:val="1"/>
      </w:pPr>
      <w:r>
        <w:rPr>
          <w:rFonts w:ascii="Arial" w:hAnsi="Arial" w:cs="Arial"/>
          <w:b w:val="0"/>
          <w:i w:val="0"/>
          <w:sz w:val="18"/>
        </w:rPr>
        <w:t>نعم. يستخدم العبرانيين 12 لغة أب محب يؤدب أولاده. والغرض ليس القسوة بل النمو الروحي. يقتبس الاصحاح من أمثال 3 ويحث المؤمنين ألا يحتقروا تأديب الرب ولا ييأسوا تحته.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«ولكن كل تأديب في الحاضر لا يُرى أنه للفرح بل للحزن. وأما أخيراً فيعطي الذين يتدربون به ثمر بر للسلام.»</w:t>
            </w:r>
          </w:p>
          <w:p>
            <w:pPr>
              <w:spacing w:after="0"/>
              <w:jc w:val="right"/>
              <w:bidi w:val="1"/>
            </w:pPr>
            <w:r>
              <w:rPr>
                <w:rFonts w:ascii="Arial" w:hAnsi="Arial" w:cs="Arial"/>
                <w:b/>
                <w:i w:val="0"/>
                <w:color w:val="333333"/>
                <w:sz w:val="16"/>
              </w:rPr>
              <w:t>العبرانيين 12:11  •  King James Version</w:t>
            </w:r>
          </w:p>
        </w:tc>
      </w:tr>
    </w:tbl>
    <w:p>
      <w:pPr>
        <w:spacing w:after="24" w:line="235" w:lineRule="auto"/>
        <w:jc w:val="right"/>
        <w:bidi w:val="1"/>
      </w:pPr>
      <w:r>
        <w:rPr>
          <w:rFonts w:ascii="Arial" w:hAnsi="Arial" w:cs="Arial"/>
          <w:b w:val="0"/>
          <w:i w:val="0"/>
          <w:sz w:val="18"/>
        </w:rPr>
        <w:t>لكن ينبغي الحذر في تطبيق هذا التعليم. يبين العبرانيين 12 أن الله يستطيع استخدام المشقة في التربية الروحية لأولاده؛ لكنه لا يسمح لنا أن نصف كل مرض أو حادث أو وفاة بأنه عقوبة أو تأديب مباشر. كثيراً ما لا نعرف لماذا حدثت الواقعة بعينها.</w:t>
      </w:r>
    </w:p>
    <w:p>
      <w:pPr>
        <w:spacing w:before="56" w:after="16"/>
        <w:jc w:val="right"/>
        <w:keepNext/>
        <w:bidi w:val="1"/>
      </w:pPr>
      <w:r>
        <w:rPr>
          <w:rFonts w:ascii="Arial" w:hAnsi="Arial" w:cs="Arial"/>
          <w:b/>
          <w:i w:val="0"/>
          <w:color w:val="1F4E79"/>
          <w:sz w:val="23"/>
        </w:rPr>
        <w:t>الإيمان يمكن أن يُنقّى بالتجربة</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«لكي تكون تزكية إيمانكم، وهي أثمن من الذهب الفاني مع أنه يمتحن بالنار، توجد للمدح والكرامة والمجد عند استعلان يسوع المسيح.»</w:t>
            </w:r>
          </w:p>
          <w:p>
            <w:pPr>
              <w:spacing w:after="0"/>
              <w:jc w:val="right"/>
              <w:bidi w:val="1"/>
            </w:pPr>
            <w:r>
              <w:rPr>
                <w:rFonts w:ascii="Arial" w:hAnsi="Arial" w:cs="Arial"/>
                <w:b/>
                <w:i w:val="0"/>
                <w:color w:val="333333"/>
                <w:sz w:val="16"/>
              </w:rPr>
              <w:t>بطرس الأولى 1:7  •  King James Version</w:t>
            </w:r>
          </w:p>
        </w:tc>
      </w:tr>
    </w:tbl>
    <w:p>
      <w:pPr>
        <w:spacing w:after="24" w:line="235" w:lineRule="auto"/>
        <w:jc w:val="right"/>
        <w:bidi w:val="1"/>
      </w:pPr>
      <w:r>
        <w:rPr>
          <w:rFonts w:ascii="Arial" w:hAnsi="Arial" w:cs="Arial"/>
          <w:b w:val="0"/>
          <w:i w:val="0"/>
          <w:sz w:val="18"/>
        </w:rPr>
        <w:t>التجارب مؤلمة، لكن التلميذ قد يخرج منها بثقة أعمق وأولويات أوضح ورجاء أقوى في عودة يسوع.</w:t>
      </w:r>
    </w:p>
    <w:p>
      <w:pPr>
        <w:spacing w:before="56" w:after="16"/>
        <w:jc w:val="right"/>
        <w:keepNext/>
        <w:bidi w:val="1"/>
      </w:pPr>
      <w:r>
        <w:rPr>
          <w:rFonts w:ascii="Arial" w:hAnsi="Arial" w:cs="Arial"/>
          <w:b/>
          <w:i w:val="0"/>
          <w:color w:val="1F4E79"/>
          <w:sz w:val="23"/>
        </w:rPr>
        <w:t>بولس: القوة تظهر في الضعف</w:t>
      </w:r>
    </w:p>
    <w:p>
      <w:pPr>
        <w:spacing w:after="24" w:line="235" w:lineRule="auto"/>
        <w:jc w:val="right"/>
        <w:bidi w:val="1"/>
      </w:pPr>
      <w:r>
        <w:rPr>
          <w:rFonts w:ascii="Arial" w:hAnsi="Arial" w:cs="Arial"/>
          <w:b w:val="0"/>
          <w:i w:val="0"/>
          <w:sz w:val="18"/>
        </w:rPr>
        <w:t>عرف بولس ألماً مستمراً. في كورنثوس الثانية 12 يتحدث عن «شوكة في الجسد». لا يخبرنا الكتاب تحديداً ما كانت، فلا ينبغي أن ندعي المعرفة. كانت مزعجة حتى إن بولس طلب من الرب ثلاث مرات أن تفارقه.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«تكفيك نعمتي، لأن قوتي في الضعف تكمل.»</w:t>
            </w:r>
          </w:p>
          <w:p>
            <w:pPr>
              <w:spacing w:after="0"/>
              <w:jc w:val="right"/>
              <w:bidi w:val="1"/>
            </w:pPr>
            <w:r>
              <w:rPr>
                <w:rFonts w:ascii="Arial" w:hAnsi="Arial" w:cs="Arial"/>
                <w:b/>
                <w:i w:val="0"/>
                <w:color w:val="333333"/>
                <w:sz w:val="16"/>
              </w:rPr>
              <w:t>كورنثوس الثانية 12:9  •  King James Version</w:t>
            </w:r>
          </w:p>
        </w:tc>
      </w:tr>
    </w:tbl>
    <w:p>
      <w:pPr>
        <w:spacing w:after="24" w:line="235" w:lineRule="auto"/>
        <w:jc w:val="right"/>
        <w:bidi w:val="1"/>
      </w:pPr>
      <w:r>
        <w:rPr>
          <w:rFonts w:ascii="Arial" w:hAnsi="Arial" w:cs="Arial"/>
          <w:b w:val="0"/>
          <w:i w:val="0"/>
          <w:sz w:val="18"/>
        </w:rPr>
        <w:t>لم تُرفع المشكلة، لكن الوعد غير نظرة بولس إلى ضعفه. لم يدعِ أن الضعف مريح، بل تعلم أن قصد الله يستطيع أن يستمر حتى حين تبقى الصعوبة. المعاناة لا تجعل الخدمة الأمينة مستحيلة.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حين تأتي الضيقة</w:t>
            </w:r>
          </w:p>
        </w:tc>
        <w:tc>
          <w:tcPr>
            <w:tcW w:type="dxa" w:w="5090"/>
            <w:shd w:fill="D9EAF7"/>
          </w:tcPr>
          <w:p>
            <w:pPr>
              <w:jc w:val="center"/>
              <w:keepNext/>
              <w:bidi w:val="1"/>
            </w:pPr>
            <w:r>
              <w:rPr>
                <w:rFonts w:ascii="Arial" w:hAnsi="Arial" w:cs="Arial"/>
                <w:b/>
                <w:i w:val="0"/>
                <w:color w:val="1F4E79"/>
                <w:sz w:val="15"/>
              </w:rPr>
              <w:t>استجابة أمينة</w:t>
            </w:r>
          </w:p>
        </w:tc>
      </w:tr>
      <w:tr>
        <w:trPr>
          <w:cantSplit/>
        </w:trPr>
        <w:tc>
          <w:tcPr>
            <w:tcW w:type="dxa" w:w="5090"/>
          </w:tcPr>
          <w:p>
            <w:pPr>
              <w:spacing w:after="0"/>
              <w:jc w:val="right"/>
              <w:bidi w:val="1"/>
            </w:pPr>
            <w:r>
              <w:rPr>
                <w:rFonts w:ascii="Arial" w:hAnsi="Arial" w:cs="Arial"/>
                <w:b w:val="0"/>
                <w:i w:val="0"/>
                <w:sz w:val="15"/>
              </w:rPr>
              <w:t>لا نفهم لماذا</w:t>
            </w:r>
          </w:p>
        </w:tc>
        <w:tc>
          <w:tcPr>
            <w:tcW w:type="dxa" w:w="5090"/>
          </w:tcPr>
          <w:p>
            <w:pPr>
              <w:spacing w:after="0"/>
              <w:jc w:val="right"/>
              <w:bidi w:val="1"/>
            </w:pPr>
            <w:r>
              <w:rPr>
                <w:rFonts w:ascii="Arial" w:hAnsi="Arial" w:cs="Arial"/>
                <w:b w:val="0"/>
                <w:i w:val="0"/>
                <w:sz w:val="15"/>
              </w:rPr>
              <w:t>صلِّ بصدق. لا يطلب الله أن نتظاهر بأن الألم سهل أو أننا نفهم كل شيء.</w:t>
            </w:r>
          </w:p>
        </w:tc>
      </w:tr>
      <w:tr>
        <w:trPr>
          <w:cantSplit/>
        </w:trPr>
        <w:tc>
          <w:tcPr>
            <w:tcW w:type="dxa" w:w="5090"/>
          </w:tcPr>
          <w:p>
            <w:pPr>
              <w:spacing w:after="0"/>
              <w:jc w:val="right"/>
              <w:bidi w:val="1"/>
            </w:pPr>
            <w:r>
              <w:rPr>
                <w:rFonts w:ascii="Arial" w:hAnsi="Arial" w:cs="Arial"/>
                <w:b w:val="0"/>
                <w:i w:val="0"/>
                <w:sz w:val="15"/>
              </w:rPr>
              <w:t>لا تختفي المشكلة سريعاً</w:t>
            </w:r>
          </w:p>
        </w:tc>
        <w:tc>
          <w:tcPr>
            <w:tcW w:type="dxa" w:w="5090"/>
          </w:tcPr>
          <w:p>
            <w:pPr>
              <w:spacing w:after="0"/>
              <w:jc w:val="right"/>
              <w:bidi w:val="1"/>
            </w:pPr>
            <w:r>
              <w:rPr>
                <w:rFonts w:ascii="Arial" w:hAnsi="Arial" w:cs="Arial"/>
                <w:b w:val="0"/>
                <w:i w:val="0"/>
                <w:sz w:val="15"/>
              </w:rPr>
              <w:t>تذكر بولس. عدم استجابة طلب كما نريد ليس دليلاً أن الله توقف عن الاهتمام.</w:t>
            </w:r>
          </w:p>
        </w:tc>
      </w:tr>
      <w:tr>
        <w:trPr>
          <w:cantSplit/>
        </w:trPr>
        <w:tc>
          <w:tcPr>
            <w:tcW w:type="dxa" w:w="5090"/>
          </w:tcPr>
          <w:p>
            <w:pPr>
              <w:spacing w:after="0"/>
              <w:jc w:val="right"/>
              <w:bidi w:val="1"/>
            </w:pPr>
            <w:r>
              <w:rPr>
                <w:rFonts w:ascii="Arial" w:hAnsi="Arial" w:cs="Arial"/>
                <w:b w:val="0"/>
                <w:i w:val="0"/>
                <w:sz w:val="15"/>
              </w:rPr>
              <w:t>نشعر بالضعف</w:t>
            </w:r>
          </w:p>
        </w:tc>
        <w:tc>
          <w:tcPr>
            <w:tcW w:type="dxa" w:w="5090"/>
          </w:tcPr>
          <w:p>
            <w:pPr>
              <w:spacing w:after="0"/>
              <w:jc w:val="right"/>
              <w:bidi w:val="1"/>
            </w:pPr>
            <w:r>
              <w:rPr>
                <w:rFonts w:ascii="Arial" w:hAnsi="Arial" w:cs="Arial"/>
                <w:b w:val="0"/>
                <w:i w:val="0"/>
                <w:sz w:val="15"/>
              </w:rPr>
              <w:t>اعتمد أقل على قوتك وأكثر على نعمة الله وكلمته ومساندة الأخوة.</w:t>
            </w:r>
          </w:p>
        </w:tc>
      </w:tr>
      <w:tr>
        <w:trPr>
          <w:cantSplit/>
        </w:trPr>
        <w:tc>
          <w:tcPr>
            <w:tcW w:type="dxa" w:w="5090"/>
          </w:tcPr>
          <w:p>
            <w:pPr>
              <w:spacing w:after="0"/>
              <w:jc w:val="right"/>
              <w:bidi w:val="1"/>
            </w:pPr>
            <w:r>
              <w:rPr>
                <w:rFonts w:ascii="Arial" w:hAnsi="Arial" w:cs="Arial"/>
                <w:b w:val="0"/>
                <w:i w:val="0"/>
                <w:sz w:val="15"/>
              </w:rPr>
              <w:t>نُحبط</w:t>
            </w:r>
          </w:p>
        </w:tc>
        <w:tc>
          <w:tcPr>
            <w:tcW w:type="dxa" w:w="5090"/>
          </w:tcPr>
          <w:p>
            <w:pPr>
              <w:spacing w:after="0"/>
              <w:jc w:val="right"/>
              <w:bidi w:val="1"/>
            </w:pPr>
            <w:r>
              <w:rPr>
                <w:rFonts w:ascii="Arial" w:hAnsi="Arial" w:cs="Arial"/>
                <w:b w:val="0"/>
                <w:i w:val="0"/>
                <w:sz w:val="15"/>
              </w:rPr>
              <w:t>أبقِ الرجاء المستقبلي أمامك. الألم الحاضر ليس كل قصة حياة التلميذ.</w:t>
            </w:r>
          </w:p>
        </w:tc>
      </w:tr>
      <w:tr>
        <w:trPr>
          <w:cantSplit/>
        </w:trPr>
        <w:tc>
          <w:tcPr>
            <w:tcW w:type="dxa" w:w="5090"/>
          </w:tcPr>
          <w:p>
            <w:pPr>
              <w:spacing w:after="0"/>
              <w:jc w:val="right"/>
              <w:bidi w:val="1"/>
            </w:pPr>
            <w:r>
              <w:rPr>
                <w:rFonts w:ascii="Arial" w:hAnsi="Arial" w:cs="Arial"/>
                <w:b w:val="0"/>
                <w:i w:val="0"/>
                <w:sz w:val="15"/>
              </w:rPr>
              <w:t>يتألم شخص آخر</w:t>
            </w:r>
          </w:p>
        </w:tc>
        <w:tc>
          <w:tcPr>
            <w:tcW w:type="dxa" w:w="5090"/>
          </w:tcPr>
          <w:p>
            <w:pPr>
              <w:spacing w:after="0"/>
              <w:jc w:val="right"/>
              <w:bidi w:val="1"/>
            </w:pPr>
            <w:r>
              <w:rPr>
                <w:rFonts w:ascii="Arial" w:hAnsi="Arial" w:cs="Arial"/>
                <w:b w:val="0"/>
                <w:i w:val="0"/>
                <w:sz w:val="15"/>
              </w:rPr>
              <w:t>استمع وساعد وعزِّ، ولا تدّع معرفة سبب الله الخاص لألم إنسان آخر.</w:t>
            </w:r>
          </w:p>
        </w:tc>
      </w:tr>
    </w:tbl>
    <w:p>
      <w:pPr>
        <w:spacing w:before="56" w:after="16"/>
        <w:jc w:val="right"/>
        <w:keepNext/>
        <w:bidi w:val="1"/>
      </w:pPr>
      <w:r>
        <w:rPr>
          <w:rFonts w:ascii="Arial" w:hAnsi="Arial" w:cs="Arial"/>
          <w:b/>
          <w:i w:val="0"/>
          <w:color w:val="1F4E79"/>
          <w:sz w:val="23"/>
        </w:rPr>
        <w:t>أمثلة الرجال والنساء الأمناء</w:t>
      </w:r>
    </w:p>
    <w:p>
      <w:pPr>
        <w:spacing w:after="24" w:line="235" w:lineRule="auto"/>
        <w:jc w:val="right"/>
        <w:bidi w:val="1"/>
      </w:pPr>
      <w:r>
        <w:rPr>
          <w:rFonts w:ascii="Arial" w:hAnsi="Arial" w:cs="Arial"/>
          <w:b w:val="0"/>
          <w:i w:val="0"/>
          <w:sz w:val="18"/>
        </w:rPr>
        <w:t>يشير الدرس إلى أيوب وإبراهيم ويوسف وإيليا ودانيال وإرميا. كانت تجاربهم مختلفة جداً، لكن الجميع تعلموا أن الإيمان لا يُختبر فقط عندما تكون الحياة سهلة. ويسجل العبرانيين 11 مؤمنين وثقوا بالله دون أن ينالوا كل الوعود في حياتهم.</w:t>
      </w:r>
    </w:p>
    <w:tbl>
      <w:tblPr>
        <w:tblW w:type="auto" w:w="0"/>
        <w:jc w:val="center"/>
        <w:tblLook w:firstColumn="1" w:firstRow="1" w:lastColumn="0" w:lastRow="0" w:noHBand="0" w:noVBand="1" w:val="04A0"/>
      </w:tblPr>
      <w:tblGrid>
        <w:gridCol w:w="10181"/>
      </w:tblGrid>
      <w:tr>
        <w:trPr>
          <w:cantSplit/>
        </w:trPr>
        <w:tc>
          <w:tcPr>
            <w:tcW w:type="dxa" w:w="10181"/>
            <w:shd w:fill="D9EAF7"/>
          </w:tcPr>
          <w:p>
            <w:pPr>
              <w:spacing w:after="10"/>
              <w:jc w:val="right"/>
              <w:bidi w:val="1"/>
            </w:pPr>
            <w:r>
              <w:rPr>
                <w:rFonts w:ascii="Arial" w:hAnsi="Arial" w:cs="Arial"/>
                <w:b/>
                <w:i w:val="0"/>
                <w:color w:val="1F4E79"/>
                <w:sz w:val="19"/>
              </w:rPr>
              <w:t>الإيمان ليس إنكاراً</w:t>
            </w:r>
          </w:p>
          <w:p>
            <w:pPr>
              <w:spacing w:after="0"/>
              <w:jc w:val="right"/>
              <w:bidi w:val="1"/>
            </w:pPr>
            <w:r>
              <w:rPr>
                <w:rFonts w:ascii="Arial" w:hAnsi="Arial" w:cs="Arial"/>
                <w:b w:val="0"/>
                <w:i w:val="0"/>
                <w:sz w:val="18"/>
              </w:rPr>
              <w:t>الإيمان الكتابي لا يعني تسمية الألم ممتعاً أو إخفاء الحزن أو رفض المساعدة. إنه الاستمرار في الثقة بالله حين تكون الظروف مؤلمة وتبقى بعض الأسئلة بلا جواب.</w:t>
            </w:r>
          </w:p>
        </w:tc>
      </w:tr>
    </w:tbl>
    <w:p>
      <w:pPr>
        <w:spacing w:before="56" w:after="16"/>
        <w:jc w:val="right"/>
        <w:keepNext/>
        <w:bidi w:val="1"/>
      </w:pPr>
      <w:r>
        <w:rPr>
          <w:rFonts w:ascii="Arial" w:hAnsi="Arial" w:cs="Arial"/>
          <w:b/>
          <w:i w:val="0"/>
          <w:color w:val="1F4E79"/>
          <w:sz w:val="23"/>
        </w:rPr>
        <w:t>يسوع تعلم الطاعة خلال المعاناة</w:t>
      </w:r>
    </w:p>
    <w:p>
      <w:pPr>
        <w:spacing w:after="24" w:line="235" w:lineRule="auto"/>
        <w:jc w:val="right"/>
        <w:bidi w:val="1"/>
      </w:pPr>
      <w:r>
        <w:rPr>
          <w:rFonts w:ascii="Arial" w:hAnsi="Arial" w:cs="Arial"/>
          <w:b w:val="0"/>
          <w:i w:val="0"/>
          <w:sz w:val="18"/>
        </w:rPr>
        <w:t>أقوى مثال هو الرب يسوع المسيح. شارك خبرتنا البشرية المائتة، وعرف الجوع والتعب والرفض والحزن والتجربة والألم، وأخيراً الموت. ويقول العبرانيين إن خبرته أكملته للعمل الذي أعطاه الله له.</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«لأنه لاق بذاك الذي من أجله الكل وبه الكل، وهو آت بأبناء كثيرين إلى المجد، أن يكمل رئيس خلاصهم بالآلام.»</w:t>
            </w:r>
          </w:p>
          <w:p>
            <w:pPr>
              <w:spacing w:after="0"/>
              <w:jc w:val="right"/>
              <w:bidi w:val="1"/>
            </w:pPr>
            <w:r>
              <w:rPr>
                <w:rFonts w:ascii="Arial" w:hAnsi="Arial" w:cs="Arial"/>
                <w:b/>
                <w:i w:val="0"/>
                <w:color w:val="333333"/>
                <w:sz w:val="16"/>
              </w:rPr>
              <w:t>العبرانيين 2:10  •  King James Version</w:t>
            </w:r>
          </w:p>
        </w:tc>
      </w:tr>
    </w:tbl>
    <w:p>
      <w:pPr>
        <w:spacing w:after="24" w:line="235" w:lineRule="auto"/>
        <w:jc w:val="right"/>
        <w:bidi w:val="1"/>
      </w:pPr>
      <w:r>
        <w:rPr>
          <w:rFonts w:ascii="Arial" w:hAnsi="Arial" w:cs="Arial"/>
          <w:b w:val="0"/>
          <w:i w:val="0"/>
          <w:sz w:val="18"/>
        </w:rPr>
        <w:t>«يكمل بالآلام» لا تعني أن يسوع كان ناقصاً أخلاقياً؛ فقد كان بلا خطية. المعنى أن خبرته بلغت تمامها: بتحمل الألم بأمانة صار مهيأً تماماً لعمله الخلاصي ولكونه رئيس كهنة رحيماً.</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«لأنه فيما هو قد تألم مجرباً يقدر أن يعين المجربين.»</w:t>
            </w:r>
          </w:p>
          <w:p>
            <w:pPr>
              <w:spacing w:after="0"/>
              <w:jc w:val="right"/>
              <w:bidi w:val="1"/>
            </w:pPr>
            <w:r>
              <w:rPr>
                <w:rFonts w:ascii="Arial" w:hAnsi="Arial" w:cs="Arial"/>
                <w:b/>
                <w:i w:val="0"/>
                <w:color w:val="333333"/>
                <w:sz w:val="16"/>
              </w:rPr>
              <w:t>العبرانيين 2:18  •  King James Version</w:t>
            </w:r>
          </w:p>
        </w:tc>
      </w:tr>
    </w:tbl>
    <w:p>
      <w:pPr>
        <w:spacing w:after="24" w:line="235" w:lineRule="auto"/>
        <w:jc w:val="right"/>
        <w:bidi w:val="1"/>
      </w:pPr>
      <w:r>
        <w:rPr>
          <w:rFonts w:ascii="Arial" w:hAnsi="Arial" w:cs="Arial"/>
          <w:b w:val="0"/>
          <w:i w:val="0"/>
          <w:sz w:val="18"/>
        </w:rPr>
        <w:t>ويقول العبرانيين أيضاً إنه مع كونه ابناً «تعلم الطاعة مما تألم به» (العبرانيين 5:8). لم يتعلم الطاعة بعد عصيان، بل عاش الطاعة وأثبتها تحت اختبارات متزايدة الشدة.</w:t>
      </w:r>
    </w:p>
    <w:p>
      <w:pPr>
        <w:spacing w:before="56" w:after="16"/>
        <w:jc w:val="right"/>
        <w:keepNext/>
        <w:bidi w:val="1"/>
      </w:pPr>
      <w:r>
        <w:rPr>
          <w:rFonts w:ascii="Arial" w:hAnsi="Arial" w:cs="Arial"/>
          <w:b/>
          <w:i w:val="0"/>
          <w:color w:val="1F4E79"/>
          <w:sz w:val="23"/>
        </w:rPr>
        <w:t>الله ليس غير مبالٍ بالألم</w:t>
      </w:r>
    </w:p>
    <w:p>
      <w:pPr>
        <w:spacing w:after="24" w:line="235" w:lineRule="auto"/>
        <w:jc w:val="right"/>
        <w:bidi w:val="1"/>
      </w:pPr>
      <w:r>
        <w:rPr>
          <w:rFonts w:ascii="Arial" w:hAnsi="Arial" w:cs="Arial"/>
          <w:b w:val="0"/>
          <w:i w:val="0"/>
          <w:sz w:val="18"/>
        </w:rPr>
        <w:t>لا يقدم الكتاب الله بعيداً عن الألم البشري. فقصد الخلاص يتمركز حول إعطائه ابنه. ولم يُعفَ يسوع من كل مشقة، بل قُوي ليبقى مطيعاً وسطها. ثم أظهرت القيامة أن المعاناة والموت ليست لهما الكلمة الأخيرة.</w:t>
      </w:r>
    </w:p>
    <w:p>
      <w:pPr>
        <w:spacing w:after="24" w:line="235" w:lineRule="auto"/>
        <w:jc w:val="right"/>
        <w:bidi w:val="1"/>
      </w:pPr>
      <w:r>
        <w:rPr>
          <w:rFonts w:ascii="Arial" w:hAnsi="Arial" w:cs="Arial"/>
          <w:b w:val="0"/>
          <w:i w:val="0"/>
          <w:sz w:val="18"/>
        </w:rPr>
        <w:t>وبالنسبة للتلميذ يتغير السؤال. قد نسأل: «لماذا حدث هذا؟» لكننا نتعلم أيضاً أن نسأل: «كيف أبقى أميناً فيه؟ ماذا يمكن أن يعلمني؟ كيف أساعد غيري؟ وكيف يغير رجاء القيامة طريقة مواجهتي له؟»</w:t>
      </w:r>
    </w:p>
    <w:p>
      <w:pPr>
        <w:spacing w:before="56" w:after="16"/>
        <w:jc w:val="right"/>
        <w:keepNext/>
        <w:bidi w:val="1"/>
      </w:pPr>
      <w:r>
        <w:rPr>
          <w:rFonts w:ascii="Arial" w:hAnsi="Arial" w:cs="Arial"/>
          <w:b/>
          <w:i w:val="0"/>
          <w:color w:val="1F4E79"/>
          <w:sz w:val="23"/>
        </w:rPr>
        <w:t>المعاناة ورجاء الملكوت</w:t>
      </w:r>
    </w:p>
    <w:p>
      <w:pPr>
        <w:spacing w:after="24" w:line="235" w:lineRule="auto"/>
        <w:jc w:val="right"/>
        <w:bidi w:val="1"/>
      </w:pPr>
      <w:r>
        <w:rPr>
          <w:rFonts w:ascii="Arial" w:hAnsi="Arial" w:cs="Arial"/>
          <w:b w:val="0"/>
          <w:i w:val="0"/>
          <w:sz w:val="18"/>
        </w:rPr>
        <w:t>الرجاء المسيحي ليس أن تختفي كل صعوبة حاضرة فوراً. يشير الكتاب إلى عودة يسوع والقيامة والدينونة وإزالة الموت والحزن في قصد الله المكتمل. هذا المستقبل لا يجعل الألم الحاضر غير حقيقي، لكنه يضع له حداً ويعطي التلميذ سبباً ألا ييأس.</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«فإني أحسب أن آلام الزمان الحاضر لا تقاس بالمجد العتيد أن يستعلن فينا.»</w:t>
            </w:r>
          </w:p>
          <w:p>
            <w:pPr>
              <w:spacing w:after="0"/>
              <w:jc w:val="right"/>
              <w:bidi w:val="1"/>
            </w:pPr>
            <w:r>
              <w:rPr>
                <w:rFonts w:ascii="Arial" w:hAnsi="Arial" w:cs="Arial"/>
                <w:b/>
                <w:i w:val="0"/>
                <w:color w:val="333333"/>
                <w:sz w:val="16"/>
              </w:rPr>
              <w:t>رومية 8:18  •  King James Version</w:t>
            </w:r>
          </w:p>
        </w:tc>
      </w:tr>
    </w:tbl>
    <w:p>
      <w:pPr>
        <w:spacing w:before="56" w:after="16"/>
        <w:jc w:val="right"/>
        <w:keepNext/>
        <w:bidi w:val="1"/>
      </w:pPr>
      <w:r>
        <w:rPr>
          <w:rFonts w:ascii="Arial" w:hAnsi="Arial" w:cs="Arial"/>
          <w:b/>
          <w:i w:val="0"/>
          <w:color w:val="1F4E79"/>
          <w:sz w:val="23"/>
        </w:rPr>
        <w:t>كيف نعيش حين تأتي المعاناة؟</w:t>
      </w:r>
    </w:p>
    <w:tbl>
      <w:tblPr>
        <w:tblStyle w:val="TableGrid"/>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keepNext/>
              <w:bidi w:val="1"/>
            </w:pPr>
            <w:r>
              <w:rPr>
                <w:rFonts w:ascii="Arial" w:hAnsi="Arial" w:cs="Arial"/>
                <w:b/>
                <w:i w:val="0"/>
                <w:color w:val="1F4E79"/>
                <w:sz w:val="15"/>
              </w:rPr>
              <w:t>يمكن للتلميذ أن...</w:t>
            </w:r>
          </w:p>
        </w:tc>
        <w:tc>
          <w:tcPr>
            <w:tcW w:type="dxa" w:w="5090"/>
            <w:shd w:fill="D9EAF7"/>
          </w:tcPr>
          <w:p>
            <w:pPr>
              <w:jc w:val="center"/>
              <w:keepNext/>
              <w:bidi w:val="1"/>
            </w:pPr>
            <w:r>
              <w:rPr>
                <w:rFonts w:ascii="Arial" w:hAnsi="Arial" w:cs="Arial"/>
                <w:b/>
                <w:i w:val="0"/>
                <w:color w:val="1F4E79"/>
                <w:sz w:val="15"/>
              </w:rPr>
              <w:t>لماذا يهم</w:t>
            </w:r>
          </w:p>
        </w:tc>
      </w:tr>
      <w:tr>
        <w:trPr>
          <w:cantSplit/>
        </w:trPr>
        <w:tc>
          <w:tcPr>
            <w:tcW w:type="dxa" w:w="5090"/>
          </w:tcPr>
          <w:p>
            <w:pPr>
              <w:spacing w:after="0"/>
              <w:jc w:val="right"/>
              <w:bidi w:val="1"/>
            </w:pPr>
            <w:r>
              <w:rPr>
                <w:rFonts w:ascii="Arial" w:hAnsi="Arial" w:cs="Arial"/>
                <w:b w:val="0"/>
                <w:i w:val="0"/>
                <w:sz w:val="15"/>
              </w:rPr>
              <w:t>يصلي</w:t>
            </w:r>
          </w:p>
        </w:tc>
        <w:tc>
          <w:tcPr>
            <w:tcW w:type="dxa" w:w="5090"/>
          </w:tcPr>
          <w:p>
            <w:pPr>
              <w:spacing w:after="0"/>
              <w:jc w:val="right"/>
              <w:bidi w:val="1"/>
            </w:pPr>
            <w:r>
              <w:rPr>
                <w:rFonts w:ascii="Arial" w:hAnsi="Arial" w:cs="Arial"/>
                <w:b w:val="0"/>
                <w:i w:val="0"/>
                <w:sz w:val="15"/>
              </w:rPr>
              <w:t>يضع الخوف والحزن والحيرة والحاجة أمام الله بصدق. الصلاة ليست فقط حين نعرف الجواب.</w:t>
            </w:r>
          </w:p>
        </w:tc>
      </w:tr>
      <w:tr>
        <w:trPr>
          <w:cantSplit/>
        </w:trPr>
        <w:tc>
          <w:tcPr>
            <w:tcW w:type="dxa" w:w="5090"/>
          </w:tcPr>
          <w:p>
            <w:pPr>
              <w:spacing w:after="0"/>
              <w:jc w:val="right"/>
              <w:bidi w:val="1"/>
            </w:pPr>
            <w:r>
              <w:rPr>
                <w:rFonts w:ascii="Arial" w:hAnsi="Arial" w:cs="Arial"/>
                <w:b w:val="0"/>
                <w:i w:val="0"/>
                <w:sz w:val="15"/>
              </w:rPr>
              <w:t>يقرأ ويتذكر</w:t>
            </w:r>
          </w:p>
        </w:tc>
        <w:tc>
          <w:tcPr>
            <w:tcW w:type="dxa" w:w="5090"/>
          </w:tcPr>
          <w:p>
            <w:pPr>
              <w:spacing w:after="0"/>
              <w:jc w:val="right"/>
              <w:bidi w:val="1"/>
            </w:pPr>
            <w:r>
              <w:rPr>
                <w:rFonts w:ascii="Arial" w:hAnsi="Arial" w:cs="Arial"/>
                <w:b w:val="0"/>
                <w:i w:val="0"/>
                <w:sz w:val="15"/>
              </w:rPr>
              <w:t>يدع الكتاب يثبت العقل، خاصة ما يكشف شخصية الله ومثال المسيح ورجاء الملكوت.</w:t>
            </w:r>
          </w:p>
        </w:tc>
      </w:tr>
      <w:tr>
        <w:trPr>
          <w:cantSplit/>
        </w:trPr>
        <w:tc>
          <w:tcPr>
            <w:tcW w:type="dxa" w:w="5090"/>
          </w:tcPr>
          <w:p>
            <w:pPr>
              <w:spacing w:after="0"/>
              <w:jc w:val="right"/>
              <w:bidi w:val="1"/>
            </w:pPr>
            <w:r>
              <w:rPr>
                <w:rFonts w:ascii="Arial" w:hAnsi="Arial" w:cs="Arial"/>
                <w:b w:val="0"/>
                <w:i w:val="0"/>
                <w:sz w:val="15"/>
              </w:rPr>
              <w:t>يقبل المساعدة</w:t>
            </w:r>
          </w:p>
        </w:tc>
        <w:tc>
          <w:tcPr>
            <w:tcW w:type="dxa" w:w="5090"/>
          </w:tcPr>
          <w:p>
            <w:pPr>
              <w:spacing w:after="0"/>
              <w:jc w:val="right"/>
              <w:bidi w:val="1"/>
            </w:pPr>
            <w:r>
              <w:rPr>
                <w:rFonts w:ascii="Arial" w:hAnsi="Arial" w:cs="Arial"/>
                <w:b w:val="0"/>
                <w:i w:val="0"/>
                <w:sz w:val="15"/>
              </w:rPr>
              <w:t>كثيراً ما يعتني الله بأولاده من خلال الآخرين. قبول المساعدة ليس فشلاً.</w:t>
            </w:r>
          </w:p>
        </w:tc>
      </w:tr>
      <w:tr>
        <w:trPr>
          <w:cantSplit/>
        </w:trPr>
        <w:tc>
          <w:tcPr>
            <w:tcW w:type="dxa" w:w="5090"/>
          </w:tcPr>
          <w:p>
            <w:pPr>
              <w:spacing w:after="0"/>
              <w:jc w:val="right"/>
              <w:bidi w:val="1"/>
            </w:pPr>
            <w:r>
              <w:rPr>
                <w:rFonts w:ascii="Arial" w:hAnsi="Arial" w:cs="Arial"/>
                <w:b w:val="0"/>
                <w:i w:val="0"/>
                <w:sz w:val="15"/>
              </w:rPr>
              <w:t>يبقى رحيماً</w:t>
            </w:r>
          </w:p>
        </w:tc>
        <w:tc>
          <w:tcPr>
            <w:tcW w:type="dxa" w:w="5090"/>
          </w:tcPr>
          <w:p>
            <w:pPr>
              <w:spacing w:after="0"/>
              <w:jc w:val="right"/>
              <w:bidi w:val="1"/>
            </w:pPr>
            <w:r>
              <w:rPr>
                <w:rFonts w:ascii="Arial" w:hAnsi="Arial" w:cs="Arial"/>
                <w:b w:val="0"/>
                <w:i w:val="0"/>
                <w:sz w:val="15"/>
              </w:rPr>
              <w:t>قد تجعلنا تجاربنا أكثر تفهماً واستعداداً لتعزية الآخرين.</w:t>
            </w:r>
          </w:p>
        </w:tc>
      </w:tr>
      <w:tr>
        <w:trPr>
          <w:cantSplit/>
        </w:trPr>
        <w:tc>
          <w:tcPr>
            <w:tcW w:type="dxa" w:w="5090"/>
          </w:tcPr>
          <w:p>
            <w:pPr>
              <w:spacing w:after="0"/>
              <w:jc w:val="right"/>
              <w:bidi w:val="1"/>
            </w:pPr>
            <w:r>
              <w:rPr>
                <w:rFonts w:ascii="Arial" w:hAnsi="Arial" w:cs="Arial"/>
                <w:b w:val="0"/>
                <w:i w:val="0"/>
                <w:sz w:val="15"/>
              </w:rPr>
              <w:t>يتجنب الخرافة</w:t>
            </w:r>
          </w:p>
        </w:tc>
        <w:tc>
          <w:tcPr>
            <w:tcW w:type="dxa" w:w="5090"/>
          </w:tcPr>
          <w:p>
            <w:pPr>
              <w:spacing w:after="0"/>
              <w:jc w:val="right"/>
              <w:bidi w:val="1"/>
            </w:pPr>
            <w:r>
              <w:rPr>
                <w:rFonts w:ascii="Arial" w:hAnsi="Arial" w:cs="Arial"/>
                <w:b w:val="0"/>
                <w:i w:val="0"/>
                <w:sz w:val="15"/>
              </w:rPr>
              <w:t>لا نفترض أن كل حادث أو مرض أو كارثة يحدد من هو صالح أو شرير أمام الله.</w:t>
            </w:r>
          </w:p>
        </w:tc>
      </w:tr>
      <w:tr>
        <w:trPr>
          <w:cantSplit/>
        </w:trPr>
        <w:tc>
          <w:tcPr>
            <w:tcW w:type="dxa" w:w="5090"/>
          </w:tcPr>
          <w:p>
            <w:pPr>
              <w:spacing w:after="0"/>
              <w:jc w:val="right"/>
              <w:bidi w:val="1"/>
            </w:pPr>
            <w:r>
              <w:rPr>
                <w:rFonts w:ascii="Arial" w:hAnsi="Arial" w:cs="Arial"/>
                <w:b w:val="0"/>
                <w:i w:val="0"/>
                <w:sz w:val="15"/>
              </w:rPr>
              <w:t>يبقي المستقبل أمامه</w:t>
            </w:r>
          </w:p>
        </w:tc>
        <w:tc>
          <w:tcPr>
            <w:tcW w:type="dxa" w:w="5090"/>
          </w:tcPr>
          <w:p>
            <w:pPr>
              <w:spacing w:after="0"/>
              <w:jc w:val="right"/>
              <w:bidi w:val="1"/>
            </w:pPr>
            <w:r>
              <w:rPr>
                <w:rFonts w:ascii="Arial" w:hAnsi="Arial" w:cs="Arial"/>
                <w:b w:val="0"/>
                <w:i w:val="0"/>
                <w:sz w:val="15"/>
              </w:rPr>
              <w:t>رجاء التلميذ يتجاوز الظروف الحاضرة إلى القيامة والحياة في ملكوت الله.</w:t>
            </w:r>
          </w:p>
        </w:tc>
      </w:tr>
    </w:tbl>
    <w:p>
      <w:pPr>
        <w:spacing w:before="56" w:after="16"/>
        <w:jc w:val="right"/>
        <w:keepNext/>
        <w:bidi w:val="1"/>
      </w:pPr>
      <w:r>
        <w:rPr>
          <w:rFonts w:ascii="Arial" w:hAnsi="Arial" w:cs="Arial"/>
          <w:b/>
          <w:i w:val="0"/>
          <w:color w:val="1F4E79"/>
          <w:sz w:val="23"/>
        </w:rPr>
        <w:t>حين يتألم شخص آخر</w:t>
      </w:r>
    </w:p>
    <w:p>
      <w:pPr>
        <w:spacing w:after="24" w:line="235" w:lineRule="auto"/>
        <w:jc w:val="right"/>
        <w:bidi w:val="1"/>
      </w:pPr>
      <w:r>
        <w:rPr>
          <w:rFonts w:ascii="Arial" w:hAnsi="Arial" w:cs="Arial"/>
          <w:b w:val="0"/>
          <w:i w:val="0"/>
          <w:sz w:val="18"/>
        </w:rPr>
        <w:t>غالباً لا تكون النظرية عن سبب الألم هي أفضل مساعدة. صار أصحاب أيوب أقل نفعاً حين أصروا أنهم يعرفون تفسير مشكلته. التلميذ مستعد للاستماع والصلاة والزيارة وتقديم المساعدة العملية والبقاء إلى جانب المتألم حين تطول الضيقة.</w:t>
      </w:r>
    </w:p>
    <w:p>
      <w:pPr>
        <w:spacing w:before="56" w:after="16"/>
        <w:jc w:val="right"/>
        <w:keepNext/>
        <w:bidi w:val="1"/>
      </w:pPr>
      <w:r>
        <w:rPr>
          <w:rFonts w:ascii="Arial" w:hAnsi="Arial" w:cs="Arial"/>
          <w:b/>
          <w:i w:val="0"/>
          <w:color w:val="1F4E79"/>
          <w:sz w:val="23"/>
        </w:rPr>
        <w:t>ماذا تعلمنا؟</w:t>
      </w:r>
    </w:p>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1</w:t>
            </w:r>
          </w:p>
        </w:tc>
        <w:tc>
          <w:tcPr>
            <w:tcW w:type="dxa" w:w="5090"/>
          </w:tcPr>
          <w:p>
            <w:pPr>
              <w:jc w:val="right"/>
              <w:bidi w:val="1"/>
            </w:pPr>
            <w:r>
              <w:rPr>
                <w:rFonts w:ascii="Arial" w:hAnsi="Arial" w:cs="Arial"/>
                <w:b/>
                <w:i w:val="0"/>
                <w:color w:val="1F4E79"/>
                <w:sz w:val="18"/>
              </w:rPr>
              <w:t>المعاناة جزء من الحياة البشرية المائتة.</w:t>
            </w:r>
          </w:p>
          <w:p>
            <w:pPr>
              <w:spacing w:after="0"/>
              <w:jc w:val="right"/>
              <w:bidi w:val="1"/>
            </w:pPr>
            <w:r>
              <w:rPr>
                <w:rFonts w:ascii="Arial" w:hAnsi="Arial" w:cs="Arial"/>
                <w:b w:val="0"/>
                <w:i w:val="0"/>
                <w:sz w:val="17"/>
              </w:rPr>
              <w:t>وكثير منها ينتج أيضاً من خطايا البشر وقسوتهم وإهمالهم واختياراتهم السيئة.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2</w:t>
            </w:r>
          </w:p>
        </w:tc>
        <w:tc>
          <w:tcPr>
            <w:tcW w:type="dxa" w:w="5090"/>
          </w:tcPr>
          <w:p>
            <w:pPr>
              <w:jc w:val="right"/>
              <w:bidi w:val="1"/>
            </w:pPr>
            <w:r>
              <w:rPr>
                <w:rFonts w:ascii="Arial" w:hAnsi="Arial" w:cs="Arial"/>
                <w:b/>
                <w:i w:val="0"/>
                <w:color w:val="1F4E79"/>
                <w:sz w:val="18"/>
              </w:rPr>
              <w:t>رفض يسوع فكرة أن كل كارثة أو إعاقة تثبت ذنباً شخصياً أكبر.</w:t>
            </w:r>
          </w:p>
          <w:p>
            <w:pPr>
              <w:spacing w:after="0"/>
              <w:jc w:val="right"/>
              <w:bidi w:val="1"/>
            </w:pPr>
            <w:r>
              <w:rPr>
                <w:rFonts w:ascii="Arial" w:hAnsi="Arial" w:cs="Arial"/>
                <w:b w:val="0"/>
                <w:i w:val="0"/>
                <w:sz w:val="17"/>
              </w:rPr>
              <w:t>المعاناة لا تمنحنا حق اتهام الضحية.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3</w:t>
            </w:r>
          </w:p>
        </w:tc>
        <w:tc>
          <w:tcPr>
            <w:tcW w:type="dxa" w:w="5090"/>
          </w:tcPr>
          <w:p>
            <w:pPr>
              <w:jc w:val="right"/>
              <w:bidi w:val="1"/>
            </w:pPr>
            <w:r>
              <w:rPr>
                <w:rFonts w:ascii="Arial" w:hAnsi="Arial" w:cs="Arial"/>
                <w:b/>
                <w:i w:val="0"/>
                <w:color w:val="1F4E79"/>
                <w:sz w:val="18"/>
              </w:rPr>
              <w:t>يمكن لله استخدام التجارب لتدريب أولاده روحياً.</w:t>
            </w:r>
          </w:p>
          <w:p>
            <w:pPr>
              <w:spacing w:after="0"/>
              <w:jc w:val="right"/>
              <w:bidi w:val="1"/>
            </w:pPr>
            <w:r>
              <w:rPr>
                <w:rFonts w:ascii="Arial" w:hAnsi="Arial" w:cs="Arial"/>
                <w:b w:val="0"/>
                <w:i w:val="0"/>
                <w:sz w:val="17"/>
              </w:rPr>
              <w:t>لكن الكتاب لا يسمح لنا بتفسير كل مشقة فردية كعقوبة مباشرة.</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4</w:t>
            </w:r>
          </w:p>
        </w:tc>
        <w:tc>
          <w:tcPr>
            <w:tcW w:type="dxa" w:w="5090"/>
          </w:tcPr>
          <w:p>
            <w:pPr>
              <w:jc w:val="right"/>
              <w:bidi w:val="1"/>
            </w:pPr>
            <w:r>
              <w:rPr>
                <w:rFonts w:ascii="Arial" w:hAnsi="Arial" w:cs="Arial"/>
                <w:b/>
                <w:i w:val="0"/>
                <w:color w:val="1F4E79"/>
                <w:sz w:val="18"/>
              </w:rPr>
              <w:t>تعلم بولس أن نعمة الله تكفي حتى مع بقاء الشوكة.</w:t>
            </w:r>
          </w:p>
          <w:p>
            <w:pPr>
              <w:spacing w:after="0"/>
              <w:jc w:val="right"/>
              <w:bidi w:val="1"/>
            </w:pPr>
            <w:r>
              <w:rPr>
                <w:rFonts w:ascii="Arial" w:hAnsi="Arial" w:cs="Arial"/>
                <w:b w:val="0"/>
                <w:i w:val="0"/>
                <w:sz w:val="17"/>
              </w:rPr>
              <w:t>عدم زوال المشكلة لا يعني أن الله لا يهتم.</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5</w:t>
            </w:r>
          </w:p>
        </w:tc>
        <w:tc>
          <w:tcPr>
            <w:tcW w:type="dxa" w:w="5090"/>
          </w:tcPr>
          <w:p>
            <w:pPr>
              <w:jc w:val="right"/>
              <w:bidi w:val="1"/>
            </w:pPr>
            <w:r>
              <w:rPr>
                <w:rFonts w:ascii="Arial" w:hAnsi="Arial" w:cs="Arial"/>
                <w:b/>
                <w:i w:val="0"/>
                <w:color w:val="1F4E79"/>
                <w:sz w:val="18"/>
              </w:rPr>
              <w:t>يسوع نفسه تألم وصار بخبرته مهيأً تماماً لمساعدة المجربين.</w:t>
            </w:r>
          </w:p>
          <w:p>
            <w:pPr>
              <w:spacing w:after="0"/>
              <w:jc w:val="right"/>
              <w:bidi w:val="1"/>
            </w:pPr>
            <w:r>
              <w:rPr>
                <w:rFonts w:ascii="Arial" w:hAnsi="Arial" w:cs="Arial"/>
                <w:b w:val="0"/>
                <w:i w:val="0"/>
                <w:sz w:val="17"/>
              </w:rPr>
              <w:t>هو مثالنا ورئيس كهنتنا الرحيم.</w:t>
            </w:r>
          </w:p>
        </w:tc>
      </w:tr>
    </w:tbl>
    <w:tbl>
      <w:tblPr>
        <w:tblW w:type="auto" w:w="0"/>
        <w:jc w:val="center"/>
        <w:tblLook w:firstColumn="1" w:firstRow="1" w:lastColumn="0" w:lastRow="0" w:noHBand="0" w:noVBand="1" w:val="04A0"/>
      </w:tblPr>
      <w:tblGrid>
        <w:gridCol w:w="5090"/>
        <w:gridCol w:w="5090"/>
      </w:tblGrid>
      <w:tr>
        <w:trPr>
          <w:cantSplit/>
        </w:trPr>
        <w:tc>
          <w:tcPr>
            <w:tcW w:type="dxa" w:w="5090"/>
            <w:shd w:fill="D9EAF7"/>
          </w:tcPr>
          <w:p>
            <w:pPr>
              <w:jc w:val="center"/>
              <w:bidi w:val="1"/>
            </w:pPr>
            <w:r>
              <w:rPr>
                <w:rFonts w:ascii="Arial" w:hAnsi="Arial" w:cs="Arial"/>
                <w:b/>
                <w:i w:val="0"/>
                <w:color w:val="1F4E79"/>
                <w:sz w:val="19"/>
              </w:rPr>
              <w:t>6</w:t>
            </w:r>
          </w:p>
        </w:tc>
        <w:tc>
          <w:tcPr>
            <w:tcW w:type="dxa" w:w="5090"/>
          </w:tcPr>
          <w:p>
            <w:pPr>
              <w:jc w:val="right"/>
              <w:bidi w:val="1"/>
            </w:pPr>
            <w:r>
              <w:rPr>
                <w:rFonts w:ascii="Arial" w:hAnsi="Arial" w:cs="Arial"/>
                <w:b/>
                <w:i w:val="0"/>
                <w:color w:val="1F4E79"/>
                <w:sz w:val="18"/>
              </w:rPr>
              <w:t>يستجيب التلميذ بالصلاة والإيمان والرحمة والثبات ورجاء القيامة والملكوت.</w:t>
            </w:r>
          </w:p>
          <w:p>
            <w:pPr>
              <w:spacing w:after="0"/>
              <w:jc w:val="right"/>
              <w:bidi w:val="1"/>
            </w:pPr>
            <w:r>
              <w:rPr>
                <w:rFonts w:ascii="Arial" w:hAnsi="Arial" w:cs="Arial"/>
                <w:b w:val="0"/>
                <w:i w:val="0"/>
                <w:sz w:val="17"/>
              </w:rPr>
              <w:t>الألم الحاضر ليس النهاية.</w:t>
            </w:r>
          </w:p>
        </w:tc>
      </w:tr>
    </w:tbl>
    <w:p>
      <w:pPr>
        <w:spacing w:before="56" w:after="16"/>
        <w:jc w:val="right"/>
        <w:keepNext/>
        <w:bidi w:val="1"/>
      </w:pPr>
      <w:r>
        <w:rPr>
          <w:rFonts w:ascii="Arial" w:hAnsi="Arial" w:cs="Arial"/>
          <w:b/>
          <w:i w:val="0"/>
          <w:color w:val="1F4E79"/>
          <w:sz w:val="23"/>
        </w:rPr>
        <w:t>مواضع للقراءة</w:t>
      </w:r>
    </w:p>
    <w:p>
      <w:pPr>
        <w:spacing w:after="24" w:line="235" w:lineRule="auto"/>
        <w:jc w:val="right"/>
        <w:bidi w:val="1"/>
      </w:pPr>
      <w:r>
        <w:rPr>
          <w:rFonts w:ascii="Arial" w:hAnsi="Arial" w:cs="Arial"/>
          <w:b w:val="0"/>
          <w:i w:val="0"/>
          <w:sz w:val="18"/>
        </w:rPr>
        <w:t>لوقا 13:1-5  •  يوحنا 9:1-7  •  العبرانيين 12:1-13  •  كورنثوس الثانية 12:7-10  •  بطرس الأولى 1:3-9  •  رومية 8:18-39</w:t>
      </w:r>
    </w:p>
    <w:p>
      <w:pPr>
        <w:spacing w:before="56" w:after="16"/>
        <w:jc w:val="right"/>
        <w:keepNext/>
        <w:bidi w:val="1"/>
      </w:pPr>
      <w:r>
        <w:rPr>
          <w:rFonts w:ascii="Arial" w:hAnsi="Arial" w:cs="Arial"/>
          <w:b/>
          <w:i w:val="0"/>
          <w:color w:val="1F4E79"/>
          <w:sz w:val="23"/>
        </w:rPr>
        <w:t>للحفظ  •  كورنثوس الثانية 12:9</w:t>
      </w:r>
    </w:p>
    <w:tbl>
      <w:tblPr>
        <w:tblW w:type="auto" w:w="0"/>
        <w:jc w:val="center"/>
        <w:tblLook w:firstColumn="1" w:firstRow="1" w:lastColumn="0" w:lastRow="0" w:noHBand="0" w:noVBand="1" w:val="04A0"/>
      </w:tblPr>
      <w:tblGrid>
        <w:gridCol w:w="10181"/>
      </w:tblGrid>
      <w:tr>
        <w:trPr>
          <w:cantSplit/>
        </w:trPr>
        <w:tc>
          <w:tcPr>
            <w:tcW w:type="dxa" w:w="10181"/>
            <w:shd w:fill="EDF4F9"/>
          </w:tcPr>
          <w:p>
            <w:pPr>
              <w:spacing w:after="10"/>
              <w:jc w:val="right"/>
              <w:bidi w:val="1"/>
            </w:pPr>
            <w:r>
              <w:rPr>
                <w:rFonts w:ascii="Arial" w:hAnsi="Arial" w:cs="Arial"/>
                <w:b w:val="0"/>
                <w:i/>
                <w:sz w:val="18"/>
              </w:rPr>
              <w:t>«تكفيك نعمتي، لأن قوتي في الضعف تكمل.»</w:t>
            </w:r>
          </w:p>
          <w:p>
            <w:pPr>
              <w:spacing w:after="0"/>
              <w:jc w:val="right"/>
              <w:bidi w:val="1"/>
            </w:pPr>
            <w:r>
              <w:rPr>
                <w:rFonts w:ascii="Arial" w:hAnsi="Arial" w:cs="Arial"/>
                <w:b/>
                <w:i w:val="0"/>
                <w:color w:val="333333"/>
                <w:sz w:val="16"/>
              </w:rPr>
              <w:t>كورنثوس الثانية 12:9  •  King James Version</w:t>
            </w:r>
          </w:p>
        </w:tc>
      </w:tr>
    </w:tbl>
    <w:sectPr w:rsidR="00FC693F" w:rsidRPr="0006063C" w:rsidSect="00034616">
      <w:headerReference w:type="default" r:id="rId9"/>
      <w:footerReference w:type="default" r:id="rId10"/>
      <w:pgSz w:w="11909" w:h="16834"/>
      <w:pgMar w:top="634" w:right="864" w:bottom="66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