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49</w:t>
      </w:r>
    </w:p>
    <w:p>
      <w:pPr>
        <w:jc w:val="center"/>
        <w:bidi w:val="1"/>
      </w:pPr>
      <w:r>
        <w:rPr>
          <w:rFonts w:ascii="Arial" w:hAnsi="Arial" w:cs="Arial"/>
          <w:b/>
          <w:i w:val="0"/>
          <w:color w:val="1F4E79"/>
          <w:sz w:val="35"/>
        </w:rPr>
        <w:t>هل من الصواب أن نكون طموحين؟</w:t>
      </w:r>
    </w:p>
    <w:p>
      <w:pPr>
        <w:spacing w:after="80"/>
        <w:jc w:val="center"/>
        <w:bidi w:val="1"/>
      </w:pPr>
      <w:r>
        <w:rPr>
          <w:rFonts w:ascii="Arial" w:hAnsi="Arial" w:cs="Arial"/>
          <w:b/>
          <w:i w:val="0"/>
          <w:color w:val="333333"/>
          <w:sz w:val="19"/>
        </w:rPr>
        <w:t>القراءة  •  متى 18</w:t>
      </w:r>
    </w:p>
    <w:p>
      <w:pPr>
        <w:spacing w:before="60" w:after="20"/>
        <w:jc w:val="right"/>
        <w:keepNext/>
        <w:bidi w:val="1"/>
      </w:pPr>
      <w:r>
        <w:rPr>
          <w:rFonts w:ascii="Arial" w:hAnsi="Arial" w:cs="Arial"/>
          <w:b/>
          <w:i w:val="0"/>
          <w:color w:val="1F4E79"/>
          <w:sz w:val="24"/>
        </w:rPr>
        <w:t>الطموح يحتاج اتجاهاً</w:t>
      </w:r>
    </w:p>
    <w:p>
      <w:pPr>
        <w:spacing w:after="32" w:line="235" w:lineRule="auto"/>
        <w:jc w:val="right"/>
        <w:bidi w:val="1"/>
      </w:pPr>
      <w:r>
        <w:rPr>
          <w:rFonts w:ascii="Arial" w:hAnsi="Arial" w:cs="Arial"/>
          <w:b w:val="0"/>
          <w:i w:val="0"/>
          <w:sz w:val="19"/>
        </w:rPr>
        <w:t>لا يدين الكتاب كل رغبة في إنجاز شيء. لكنه يحذر بشدة من الكبرياء والمنافسة والترويج للذات والرغبة في السيطرة على الآخرين. يمكن للتلميذ أن يملك طاقة وقدرة وأهدافاً نافعة، لكن يجب توجيهها إلى خدمة الله ومساعدة الناس.</w:t>
      </w:r>
    </w:p>
    <w:p>
      <w:pPr>
        <w:spacing w:before="60" w:after="20"/>
        <w:jc w:val="right"/>
        <w:keepNext/>
        <w:bidi w:val="1"/>
      </w:pPr>
      <w:r>
        <w:rPr>
          <w:rFonts w:ascii="Arial" w:hAnsi="Arial" w:cs="Arial"/>
          <w:b/>
          <w:i w:val="0"/>
          <w:color w:val="1F4E79"/>
          <w:sz w:val="24"/>
        </w:rPr>
        <w:t>«من هو الأعظم؟»</w:t>
      </w:r>
    </w:p>
    <w:p>
      <w:pPr>
        <w:spacing w:after="32" w:line="235" w:lineRule="auto"/>
        <w:jc w:val="right"/>
        <w:bidi w:val="1"/>
      </w:pPr>
      <w:r>
        <w:rPr>
          <w:rFonts w:ascii="Arial" w:hAnsi="Arial" w:cs="Arial"/>
          <w:b w:val="0"/>
          <w:i w:val="0"/>
          <w:sz w:val="19"/>
        </w:rPr>
        <w:t>كان التلاميذ يصارعون مراراً مع مسألة المكانة والأهمية. في متى 18 سألوا يسوع مباشرة من هو الأعظم في الملكوت. وضع طفلاً صغيراً في وسطهم. لم يكن الدرس أن الأطفال بلا خطية أو كاملون تلقائياً، بل أن التلاميذ احتاجوا إلى التواضع بدل تعظيم الذات.</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«فمن وضع نفسه مثل هذا الولد فهو الأعظم في ملكوت السماوات.»</w:t>
            </w:r>
          </w:p>
          <w:p>
            <w:pPr>
              <w:spacing w:after="0"/>
              <w:jc w:val="right"/>
              <w:bidi w:val="1"/>
            </w:pPr>
            <w:r>
              <w:rPr>
                <w:rFonts w:ascii="Arial" w:hAnsi="Arial" w:cs="Arial"/>
                <w:b/>
                <w:i w:val="0"/>
                <w:color w:val="333333"/>
                <w:sz w:val="17"/>
              </w:rPr>
              <w:t>متى 18:4  •  King James Version</w:t>
            </w:r>
          </w:p>
        </w:tc>
      </w:tr>
    </w:tbl>
    <w:p>
      <w:pPr>
        <w:spacing w:before="60" w:after="20"/>
        <w:jc w:val="right"/>
        <w:keepNext/>
        <w:bidi w:val="1"/>
      </w:pPr>
      <w:r>
        <w:rPr>
          <w:rFonts w:ascii="Arial" w:hAnsi="Arial" w:cs="Arial"/>
          <w:b/>
          <w:i w:val="0"/>
          <w:color w:val="1F4E79"/>
          <w:sz w:val="24"/>
        </w:rPr>
        <w:t>طلب أفضل الأماكن</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«فلا يكون هكذا فيكم. بل من أراد أن يكون فيكم عظيماً فليكن لكم خادماً، ومن أراد أن يكون فيكم أولاً فليكن لكم عبداً.»</w:t>
            </w:r>
          </w:p>
          <w:p>
            <w:pPr>
              <w:spacing w:after="0"/>
              <w:jc w:val="right"/>
              <w:bidi w:val="1"/>
            </w:pPr>
            <w:r>
              <w:rPr>
                <w:rFonts w:ascii="Arial" w:hAnsi="Arial" w:cs="Arial"/>
                <w:b/>
                <w:i w:val="0"/>
                <w:color w:val="333333"/>
                <w:sz w:val="17"/>
              </w:rPr>
              <w:t>متى 20:26-27  •  King James Version</w:t>
            </w:r>
          </w:p>
        </w:tc>
      </w:tr>
    </w:tbl>
    <w:p>
      <w:pPr>
        <w:spacing w:after="32" w:line="235" w:lineRule="auto"/>
        <w:jc w:val="right"/>
        <w:bidi w:val="1"/>
      </w:pPr>
      <w:r>
        <w:rPr>
          <w:rFonts w:ascii="Arial" w:hAnsi="Arial" w:cs="Arial"/>
          <w:b w:val="0"/>
          <w:i w:val="0"/>
          <w:sz w:val="19"/>
        </w:rPr>
        <w:t>طلبت أم يعقوب ويوحنا أن يجلس ابناها في أماكن كرامة خاصة في ملكوت المسيح، فغضب العشرة الآخرون. لم يشجع يسوع المنافسة على الرتب، بل غيّر مفهوم العظمة: ابن الإنسان جاء لا ليُخدم بل ليخدم ويبذل نفسه فدية عن كثيرين (متى 20:28).</w:t>
      </w:r>
    </w:p>
    <w:p>
      <w:pPr>
        <w:spacing w:before="60" w:after="20"/>
        <w:jc w:val="right"/>
        <w:keepNext/>
        <w:bidi w:val="1"/>
      </w:pPr>
      <w:r>
        <w:rPr>
          <w:rFonts w:ascii="Arial" w:hAnsi="Arial" w:cs="Arial"/>
          <w:b/>
          <w:i w:val="0"/>
          <w:color w:val="1F4E79"/>
          <w:sz w:val="24"/>
        </w:rPr>
        <w:t>طموح يتحول إلى كبرياء</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«وأكبركم يكون خادماً لكم. فمن يرفع نفسه يتضع ومن يضع نفسه يرتفع.»</w:t>
            </w:r>
          </w:p>
          <w:p>
            <w:pPr>
              <w:spacing w:after="0"/>
              <w:jc w:val="right"/>
              <w:bidi w:val="1"/>
            </w:pPr>
            <w:r>
              <w:rPr>
                <w:rFonts w:ascii="Arial" w:hAnsi="Arial" w:cs="Arial"/>
                <w:b/>
                <w:i w:val="0"/>
                <w:color w:val="333333"/>
                <w:sz w:val="17"/>
              </w:rPr>
              <w:t>متى 23:11-12  •  King James Version</w:t>
            </w:r>
          </w:p>
        </w:tc>
      </w:tr>
    </w:tbl>
    <w:p>
      <w:pPr>
        <w:spacing w:after="32" w:line="235" w:lineRule="auto"/>
        <w:jc w:val="right"/>
        <w:bidi w:val="1"/>
      </w:pPr>
      <w:r>
        <w:rPr>
          <w:rFonts w:ascii="Arial" w:hAnsi="Arial" w:cs="Arial"/>
          <w:b w:val="0"/>
          <w:i w:val="0"/>
          <w:sz w:val="19"/>
        </w:rPr>
        <w:t>انتقد يسوع القادة الذين أحبوا الألقاب والظهور والمقاعد الأولى. هذا التحذير صالح لكل عصر: يمكن للدين الظاهر أن يصير وسيلة لنيل الإعجاب بدلاً من خدمة الله.</w:t>
      </w:r>
    </w:p>
    <w:p>
      <w:pPr>
        <w:spacing w:before="60" w:after="20"/>
        <w:jc w:val="right"/>
        <w:keepNext/>
        <w:bidi w:val="1"/>
      </w:pPr>
      <w:r>
        <w:rPr>
          <w:rFonts w:ascii="Arial" w:hAnsi="Arial" w:cs="Arial"/>
          <w:b/>
          <w:i w:val="0"/>
          <w:color w:val="1F4E79"/>
          <w:sz w:val="24"/>
        </w:rPr>
        <w:t>يسوع غسل أرجلهم</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«فإن كنت وأنا السيد والمعلم قد غسلت أرجلكم فأنتم يجب عليكم أن يغسل بعضكم أرجل بعض. لأني أعطيتكم مثالاً حتى كما صنعت أنا بكم تصنعون أنتم أيضاً.»</w:t>
            </w:r>
          </w:p>
          <w:p>
            <w:pPr>
              <w:spacing w:after="0"/>
              <w:jc w:val="right"/>
              <w:bidi w:val="1"/>
            </w:pPr>
            <w:r>
              <w:rPr>
                <w:rFonts w:ascii="Arial" w:hAnsi="Arial" w:cs="Arial"/>
                <w:b/>
                <w:i w:val="0"/>
                <w:color w:val="333333"/>
                <w:sz w:val="17"/>
              </w:rPr>
              <w:t>يوحنا 13:14-15  •  King James Version</w:t>
            </w:r>
          </w:p>
        </w:tc>
      </w:tr>
    </w:tbl>
    <w:p>
      <w:pPr>
        <w:spacing w:before="60" w:after="20"/>
        <w:jc w:val="right"/>
        <w:keepNext/>
        <w:bidi w:val="1"/>
      </w:pPr>
      <w:r>
        <w:rPr>
          <w:rFonts w:ascii="Arial" w:hAnsi="Arial" w:cs="Arial"/>
          <w:b/>
          <w:i w:val="0"/>
          <w:color w:val="1F4E79"/>
          <w:sz w:val="24"/>
        </w:rPr>
        <w:t>هل كل طموح خطأ؟</w:t>
      </w:r>
    </w:p>
    <w:p>
      <w:pPr>
        <w:spacing w:after="32" w:line="235" w:lineRule="auto"/>
        <w:jc w:val="right"/>
        <w:bidi w:val="1"/>
      </w:pPr>
      <w:r>
        <w:rPr>
          <w:rFonts w:ascii="Arial" w:hAnsi="Arial" w:cs="Arial"/>
          <w:b w:val="0"/>
          <w:i w:val="0"/>
          <w:sz w:val="19"/>
        </w:rPr>
        <w:t>لا. يمكن للكتاب أن يتكلم بإيجابية عن الرغبة في مسؤولية نافعة. كتب بولس: «إن ابتغى أحد الأسقفية فيشتهي عملاً صالحاً» (تيموثاوس الأولى 3:1). الكلمات المهمة هي «عملاً صالحاً». الهدف ليس المكانة بل الخدمة النافعة بشخصية صحيحة.</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5"/>
              </w:rPr>
              <w:t>طموح أناني</w:t>
            </w:r>
          </w:p>
        </w:tc>
        <w:tc>
          <w:tcPr>
            <w:tcW w:type="dxa" w:w="5032"/>
            <w:shd w:fill="D9EAF7"/>
          </w:tcPr>
          <w:p>
            <w:pPr>
              <w:jc w:val="center"/>
              <w:keepNext/>
              <w:bidi w:val="1"/>
            </w:pPr>
            <w:r>
              <w:rPr>
                <w:rFonts w:ascii="Arial" w:hAnsi="Arial" w:cs="Arial"/>
                <w:b/>
                <w:i w:val="0"/>
                <w:color w:val="1F4E79"/>
                <w:sz w:val="15"/>
              </w:rPr>
              <w:t>تطلع تقي</w:t>
            </w:r>
          </w:p>
        </w:tc>
      </w:tr>
      <w:tr>
        <w:trPr>
          <w:cantSplit/>
        </w:trPr>
        <w:tc>
          <w:tcPr>
            <w:tcW w:type="dxa" w:w="5032"/>
          </w:tcPr>
          <w:p>
            <w:pPr>
              <w:spacing w:after="0"/>
              <w:jc w:val="right"/>
              <w:bidi w:val="1"/>
            </w:pPr>
            <w:r>
              <w:rPr>
                <w:rFonts w:ascii="Arial" w:hAnsi="Arial" w:cs="Arial"/>
                <w:b w:val="0"/>
                <w:i w:val="0"/>
                <w:sz w:val="15"/>
              </w:rPr>
              <w:t>«أريد أن يلاحظني الناس.»</w:t>
            </w:r>
          </w:p>
        </w:tc>
        <w:tc>
          <w:tcPr>
            <w:tcW w:type="dxa" w:w="5032"/>
          </w:tcPr>
          <w:p>
            <w:pPr>
              <w:spacing w:after="0"/>
              <w:jc w:val="right"/>
              <w:bidi w:val="1"/>
            </w:pPr>
            <w:r>
              <w:rPr>
                <w:rFonts w:ascii="Arial" w:hAnsi="Arial" w:cs="Arial"/>
                <w:b w:val="0"/>
                <w:i w:val="0"/>
                <w:sz w:val="15"/>
              </w:rPr>
              <w:t>«أريد أن أصير أكثر نفعاً لله وللآخرين.»</w:t>
            </w:r>
          </w:p>
        </w:tc>
      </w:tr>
      <w:tr>
        <w:trPr>
          <w:cantSplit/>
        </w:trPr>
        <w:tc>
          <w:tcPr>
            <w:tcW w:type="dxa" w:w="5032"/>
          </w:tcPr>
          <w:p>
            <w:pPr>
              <w:spacing w:after="0"/>
              <w:jc w:val="right"/>
              <w:bidi w:val="1"/>
            </w:pPr>
            <w:r>
              <w:rPr>
                <w:rFonts w:ascii="Arial" w:hAnsi="Arial" w:cs="Arial"/>
                <w:b w:val="0"/>
                <w:i w:val="0"/>
                <w:sz w:val="15"/>
              </w:rPr>
              <w:t>«يجب أن أكون الأول.»</w:t>
            </w:r>
          </w:p>
        </w:tc>
        <w:tc>
          <w:tcPr>
            <w:tcW w:type="dxa" w:w="5032"/>
          </w:tcPr>
          <w:p>
            <w:pPr>
              <w:spacing w:after="0"/>
              <w:jc w:val="right"/>
              <w:bidi w:val="1"/>
            </w:pPr>
            <w:r>
              <w:rPr>
                <w:rFonts w:ascii="Arial" w:hAnsi="Arial" w:cs="Arial"/>
                <w:b w:val="0"/>
                <w:i w:val="0"/>
                <w:sz w:val="15"/>
              </w:rPr>
              <w:t>«سأفعل العمل المطلوب حتى إن لم يمدحني أحد.»</w:t>
            </w:r>
          </w:p>
        </w:tc>
      </w:tr>
      <w:tr>
        <w:trPr>
          <w:cantSplit/>
        </w:trPr>
        <w:tc>
          <w:tcPr>
            <w:tcW w:type="dxa" w:w="5032"/>
          </w:tcPr>
          <w:p>
            <w:pPr>
              <w:spacing w:after="0"/>
              <w:jc w:val="right"/>
              <w:bidi w:val="1"/>
            </w:pPr>
            <w:r>
              <w:rPr>
                <w:rFonts w:ascii="Arial" w:hAnsi="Arial" w:cs="Arial"/>
                <w:b w:val="0"/>
                <w:i w:val="0"/>
                <w:sz w:val="15"/>
              </w:rPr>
              <w:t>«أريد سلطة على الآخرين.»</w:t>
            </w:r>
          </w:p>
        </w:tc>
        <w:tc>
          <w:tcPr>
            <w:tcW w:type="dxa" w:w="5032"/>
          </w:tcPr>
          <w:p>
            <w:pPr>
              <w:spacing w:after="0"/>
              <w:jc w:val="right"/>
              <w:bidi w:val="1"/>
            </w:pPr>
            <w:r>
              <w:rPr>
                <w:rFonts w:ascii="Arial" w:hAnsi="Arial" w:cs="Arial"/>
                <w:b w:val="0"/>
                <w:i w:val="0"/>
                <w:sz w:val="15"/>
              </w:rPr>
              <w:t>«إذا أُعطيت مسؤولية فسأستخدمها للخدمة.»</w:t>
            </w:r>
          </w:p>
        </w:tc>
      </w:tr>
      <w:tr>
        <w:trPr>
          <w:cantSplit/>
        </w:trPr>
        <w:tc>
          <w:tcPr>
            <w:tcW w:type="dxa" w:w="5032"/>
          </w:tcPr>
          <w:p>
            <w:pPr>
              <w:spacing w:after="0"/>
              <w:jc w:val="right"/>
              <w:bidi w:val="1"/>
            </w:pPr>
            <w:r>
              <w:rPr>
                <w:rFonts w:ascii="Arial" w:hAnsi="Arial" w:cs="Arial"/>
                <w:b w:val="0"/>
                <w:i w:val="0"/>
                <w:sz w:val="15"/>
              </w:rPr>
              <w:t>«نجاح شخص آخر يهددني.»</w:t>
            </w:r>
          </w:p>
        </w:tc>
        <w:tc>
          <w:tcPr>
            <w:tcW w:type="dxa" w:w="5032"/>
          </w:tcPr>
          <w:p>
            <w:pPr>
              <w:spacing w:after="0"/>
              <w:jc w:val="right"/>
              <w:bidi w:val="1"/>
            </w:pPr>
            <w:r>
              <w:rPr>
                <w:rFonts w:ascii="Arial" w:hAnsi="Arial" w:cs="Arial"/>
                <w:b w:val="0"/>
                <w:i w:val="0"/>
                <w:sz w:val="15"/>
              </w:rPr>
              <w:t>«أستطيع أن أفرح حين تُستخدم مواهب غيري جيداً.»</w:t>
            </w:r>
          </w:p>
        </w:tc>
      </w:tr>
      <w:tr>
        <w:trPr>
          <w:cantSplit/>
        </w:trPr>
        <w:tc>
          <w:tcPr>
            <w:tcW w:type="dxa" w:w="5032"/>
          </w:tcPr>
          <w:p>
            <w:pPr>
              <w:spacing w:after="0"/>
              <w:jc w:val="right"/>
              <w:bidi w:val="1"/>
            </w:pPr>
            <w:r>
              <w:rPr>
                <w:rFonts w:ascii="Arial" w:hAnsi="Arial" w:cs="Arial"/>
                <w:b w:val="0"/>
                <w:i w:val="0"/>
                <w:sz w:val="15"/>
              </w:rPr>
              <w:t>«النتيجة أهم من الطريقة.»</w:t>
            </w:r>
          </w:p>
        </w:tc>
        <w:tc>
          <w:tcPr>
            <w:tcW w:type="dxa" w:w="5032"/>
          </w:tcPr>
          <w:p>
            <w:pPr>
              <w:spacing w:after="0"/>
              <w:jc w:val="right"/>
              <w:bidi w:val="1"/>
            </w:pPr>
            <w:r>
              <w:rPr>
                <w:rFonts w:ascii="Arial" w:hAnsi="Arial" w:cs="Arial"/>
                <w:b w:val="0"/>
                <w:i w:val="0"/>
                <w:sz w:val="15"/>
              </w:rPr>
              <w:t>«لن أكسب ميزة بالكذب أو التلاعب أو القسوة.»</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0"/>
              <w:jc w:val="right"/>
              <w:bidi w:val="1"/>
            </w:pPr>
            <w:r>
              <w:rPr>
                <w:rFonts w:ascii="Arial" w:hAnsi="Arial" w:cs="Arial"/>
                <w:b/>
                <w:i w:val="0"/>
                <w:color w:val="1F4E79"/>
                <w:sz w:val="20"/>
              </w:rPr>
              <w:t>اختبار نافع</w:t>
            </w:r>
          </w:p>
          <w:p>
            <w:pPr>
              <w:spacing w:after="0"/>
              <w:jc w:val="right"/>
              <w:bidi w:val="1"/>
            </w:pPr>
            <w:r>
              <w:rPr>
                <w:rFonts w:ascii="Arial" w:hAnsi="Arial" w:cs="Arial"/>
                <w:b w:val="0"/>
                <w:i w:val="0"/>
                <w:sz w:val="18"/>
              </w:rPr>
              <w:t>لا تسأل فقط: ماذا أريد أن أنجز؟ بل أيضاً: لماذا أريده؟ من سينتفع؟ ما الوسائل التي سأستخدمها؟ وماذا سيفعل هذا الهدف بعلاقتي بالله؟</w:t>
            </w:r>
          </w:p>
        </w:tc>
      </w:tr>
    </w:tbl>
    <w:p>
      <w:pPr>
        <w:spacing w:before="60" w:after="20"/>
        <w:jc w:val="right"/>
        <w:keepNext/>
        <w:bidi w:val="1"/>
      </w:pPr>
      <w:r>
        <w:rPr>
          <w:rFonts w:ascii="Arial" w:hAnsi="Arial" w:cs="Arial"/>
          <w:b/>
          <w:i w:val="0"/>
          <w:color w:val="1F4E79"/>
          <w:sz w:val="24"/>
        </w:rPr>
        <w:t>هامان — حين تسمم الطموح</w:t>
      </w:r>
    </w:p>
    <w:p>
      <w:pPr>
        <w:spacing w:after="32" w:line="235" w:lineRule="auto"/>
        <w:jc w:val="right"/>
        <w:bidi w:val="1"/>
      </w:pPr>
      <w:r>
        <w:rPr>
          <w:rFonts w:ascii="Arial" w:hAnsi="Arial" w:cs="Arial"/>
          <w:b w:val="0"/>
          <w:i w:val="0"/>
          <w:sz w:val="19"/>
        </w:rPr>
        <w:t>يعطي سفر أستير مثالاً قوياً لطموح أفسده الكبرياء. تصف النسخة القديمة هامان بأنه عماليقي، لكن سفر أستير نفسه يسميه «هامان بن همداثا الأجاجي» (أستير 3:1). فلا ينبغي الجزم بنسبه أكثر مما يقول الكتاب.</w:t>
      </w:r>
    </w:p>
    <w:p>
      <w:pPr>
        <w:spacing w:after="32" w:line="235" w:lineRule="auto"/>
        <w:jc w:val="right"/>
        <w:bidi w:val="1"/>
      </w:pPr>
      <w:r>
        <w:rPr>
          <w:rFonts w:ascii="Arial" w:hAnsi="Arial" w:cs="Arial"/>
          <w:b w:val="0"/>
          <w:i w:val="0"/>
          <w:sz w:val="19"/>
        </w:rPr>
        <w:t>كان هامان قد رُفع إلى منصب عالٍ جداً، لكن رفض مردخاي السجود له جرح كبرياءه حتى دبّر ليس ضد مردخاي فقط بل ضد جميع اليهود في الإمبراطورية الفارسية. تحول الطموح إلى كبرياء واستياء ورغبة في إهلاك الآخرين.</w:t>
      </w:r>
    </w:p>
    <w:p>
      <w:r>
        <w:br w:type="page"/>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5"/>
              </w:rPr>
              <w:t>نمط هامان</w:t>
            </w:r>
          </w:p>
        </w:tc>
        <w:tc>
          <w:tcPr>
            <w:tcW w:type="dxa" w:w="5032"/>
            <w:shd w:fill="D9EAF7"/>
          </w:tcPr>
          <w:p>
            <w:pPr>
              <w:jc w:val="center"/>
              <w:keepNext/>
              <w:bidi w:val="1"/>
            </w:pPr>
            <w:r>
              <w:rPr>
                <w:rFonts w:ascii="Arial" w:hAnsi="Arial" w:cs="Arial"/>
                <w:b/>
                <w:i w:val="0"/>
                <w:color w:val="1F4E79"/>
                <w:sz w:val="15"/>
              </w:rPr>
              <w:t>تحذير لنا</w:t>
            </w:r>
          </w:p>
        </w:tc>
      </w:tr>
      <w:tr>
        <w:trPr>
          <w:cantSplit/>
        </w:trPr>
        <w:tc>
          <w:tcPr>
            <w:tcW w:type="dxa" w:w="5032"/>
          </w:tcPr>
          <w:p>
            <w:pPr>
              <w:spacing w:after="0"/>
              <w:jc w:val="right"/>
              <w:bidi w:val="1"/>
            </w:pPr>
            <w:r>
              <w:rPr>
                <w:rFonts w:ascii="Arial" w:hAnsi="Arial" w:cs="Arial"/>
                <w:b w:val="0"/>
                <w:i w:val="0"/>
                <w:sz w:val="15"/>
              </w:rPr>
              <w:t>الترقية لم تشبعه.</w:t>
            </w:r>
          </w:p>
        </w:tc>
        <w:tc>
          <w:tcPr>
            <w:tcW w:type="dxa" w:w="5032"/>
          </w:tcPr>
          <w:p>
            <w:pPr>
              <w:spacing w:after="0"/>
              <w:jc w:val="right"/>
              <w:bidi w:val="1"/>
            </w:pPr>
            <w:r>
              <w:rPr>
                <w:rFonts w:ascii="Arial" w:hAnsi="Arial" w:cs="Arial"/>
                <w:b w:val="0"/>
                <w:i w:val="0"/>
                <w:sz w:val="15"/>
              </w:rPr>
              <w:t>الإنجاز لا يشفي الكبرياء أو انعدام الأمان.</w:t>
            </w:r>
          </w:p>
        </w:tc>
      </w:tr>
      <w:tr>
        <w:trPr>
          <w:cantSplit/>
        </w:trPr>
        <w:tc>
          <w:tcPr>
            <w:tcW w:type="dxa" w:w="5032"/>
          </w:tcPr>
          <w:p>
            <w:pPr>
              <w:spacing w:after="0"/>
              <w:jc w:val="right"/>
              <w:bidi w:val="1"/>
            </w:pPr>
            <w:r>
              <w:rPr>
                <w:rFonts w:ascii="Arial" w:hAnsi="Arial" w:cs="Arial"/>
                <w:b w:val="0"/>
                <w:i w:val="0"/>
                <w:sz w:val="15"/>
              </w:rPr>
              <w:t>طلب الاعتراف والكرامة.</w:t>
            </w:r>
          </w:p>
        </w:tc>
        <w:tc>
          <w:tcPr>
            <w:tcW w:type="dxa" w:w="5032"/>
          </w:tcPr>
          <w:p>
            <w:pPr>
              <w:spacing w:after="0"/>
              <w:jc w:val="right"/>
              <w:bidi w:val="1"/>
            </w:pPr>
            <w:r>
              <w:rPr>
                <w:rFonts w:ascii="Arial" w:hAnsi="Arial" w:cs="Arial"/>
                <w:b w:val="0"/>
                <w:i w:val="0"/>
                <w:sz w:val="15"/>
              </w:rPr>
              <w:t>الحاجة المستمرة إلى التقدير قد تجعلنا حاقدين.</w:t>
            </w:r>
          </w:p>
        </w:tc>
      </w:tr>
      <w:tr>
        <w:trPr>
          <w:cantSplit/>
        </w:trPr>
        <w:tc>
          <w:tcPr>
            <w:tcW w:type="dxa" w:w="5032"/>
          </w:tcPr>
          <w:p>
            <w:pPr>
              <w:spacing w:after="0"/>
              <w:jc w:val="right"/>
              <w:bidi w:val="1"/>
            </w:pPr>
            <w:r>
              <w:rPr>
                <w:rFonts w:ascii="Arial" w:hAnsi="Arial" w:cs="Arial"/>
                <w:b w:val="0"/>
                <w:i w:val="0"/>
                <w:sz w:val="15"/>
              </w:rPr>
              <w:t>رفض رجل واحد صار هوساً.</w:t>
            </w:r>
          </w:p>
        </w:tc>
        <w:tc>
          <w:tcPr>
            <w:tcW w:type="dxa" w:w="5032"/>
          </w:tcPr>
          <w:p>
            <w:pPr>
              <w:spacing w:after="0"/>
              <w:jc w:val="right"/>
              <w:bidi w:val="1"/>
            </w:pPr>
            <w:r>
              <w:rPr>
                <w:rFonts w:ascii="Arial" w:hAnsi="Arial" w:cs="Arial"/>
                <w:b w:val="0"/>
                <w:i w:val="0"/>
                <w:sz w:val="15"/>
              </w:rPr>
              <w:t>الإهانة الشخصية قد تتحول إلى ظلم إذا غذيناها.</w:t>
            </w:r>
          </w:p>
        </w:tc>
      </w:tr>
      <w:tr>
        <w:trPr>
          <w:cantSplit/>
        </w:trPr>
        <w:tc>
          <w:tcPr>
            <w:tcW w:type="dxa" w:w="5032"/>
          </w:tcPr>
          <w:p>
            <w:pPr>
              <w:spacing w:after="0"/>
              <w:jc w:val="right"/>
              <w:bidi w:val="1"/>
            </w:pPr>
            <w:r>
              <w:rPr>
                <w:rFonts w:ascii="Arial" w:hAnsi="Arial" w:cs="Arial"/>
                <w:b w:val="0"/>
                <w:i w:val="0"/>
                <w:sz w:val="15"/>
              </w:rPr>
              <w:t>استخدم نفوذه لإيذاء الآخرين.</w:t>
            </w:r>
          </w:p>
        </w:tc>
        <w:tc>
          <w:tcPr>
            <w:tcW w:type="dxa" w:w="5032"/>
          </w:tcPr>
          <w:p>
            <w:pPr>
              <w:spacing w:after="0"/>
              <w:jc w:val="right"/>
              <w:bidi w:val="1"/>
            </w:pPr>
            <w:r>
              <w:rPr>
                <w:rFonts w:ascii="Arial" w:hAnsi="Arial" w:cs="Arial"/>
                <w:b w:val="0"/>
                <w:i w:val="0"/>
                <w:sz w:val="15"/>
              </w:rPr>
              <w:t>القوة خطرة إذا انفصلت عن التواضع والرحمة.</w:t>
            </w:r>
          </w:p>
        </w:tc>
      </w:tr>
    </w:tbl>
    <w:p>
      <w:pPr>
        <w:spacing w:before="60" w:after="20"/>
        <w:jc w:val="right"/>
        <w:keepNext/>
        <w:bidi w:val="1"/>
      </w:pPr>
      <w:r>
        <w:rPr>
          <w:rFonts w:ascii="Arial" w:hAnsi="Arial" w:cs="Arial"/>
          <w:b/>
          <w:i w:val="0"/>
          <w:color w:val="1F4E79"/>
          <w:sz w:val="24"/>
        </w:rPr>
        <w:t>دانيال — قدرة بلا تمجيد للذات</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«لكن يوجد إله في السماوات كاشف الأسرار ... أما أنا فلم يُكشف لي هذا السر لحكمة فيَّ أكثر من كل الأحياء.»</w:t>
            </w:r>
          </w:p>
          <w:p>
            <w:pPr>
              <w:spacing w:after="0"/>
              <w:jc w:val="right"/>
              <w:bidi w:val="1"/>
            </w:pPr>
            <w:r>
              <w:rPr>
                <w:rFonts w:ascii="Arial" w:hAnsi="Arial" w:cs="Arial"/>
                <w:b/>
                <w:i w:val="0"/>
                <w:color w:val="333333"/>
                <w:sz w:val="17"/>
              </w:rPr>
              <w:t>دانيال 2:28،30  •  King James Version</w:t>
            </w:r>
          </w:p>
        </w:tc>
      </w:tr>
    </w:tbl>
    <w:p>
      <w:pPr>
        <w:spacing w:after="32" w:line="235" w:lineRule="auto"/>
        <w:jc w:val="right"/>
        <w:bidi w:val="1"/>
      </w:pPr>
      <w:r>
        <w:rPr>
          <w:rFonts w:ascii="Arial" w:hAnsi="Arial" w:cs="Arial"/>
          <w:b w:val="0"/>
          <w:i w:val="0"/>
          <w:sz w:val="19"/>
        </w:rPr>
        <w:t>كان دانيال شديد القدرة وحمل مسؤولية عظيمة، لكنه وجّه الكرامة إلى الله. وهذا يبين أن النجاح والمهارة والمسؤولية ليست خطأ في ذاتها؛ يبدأ الخطر حين نجعل مواهبنا سبباً للكبرياء والتفوق والترويج للذات.</w:t>
      </w:r>
    </w:p>
    <w:p>
      <w:pPr>
        <w:spacing w:before="60" w:after="20"/>
        <w:jc w:val="right"/>
        <w:keepNext/>
        <w:bidi w:val="1"/>
      </w:pPr>
      <w:r>
        <w:rPr>
          <w:rFonts w:ascii="Arial" w:hAnsi="Arial" w:cs="Arial"/>
          <w:b/>
          <w:i w:val="0"/>
          <w:color w:val="1F4E79"/>
          <w:sz w:val="24"/>
        </w:rPr>
        <w:t>فراغ الإنجاز بلا الله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«ثم التفت أنا إلى كل أعمالي التي عملتها يداي ... فإذا الكل باطل وقبض الريح ولا منفعة تحت الشمس.»</w:t>
            </w:r>
          </w:p>
          <w:p>
            <w:pPr>
              <w:spacing w:after="0"/>
              <w:jc w:val="right"/>
              <w:bidi w:val="1"/>
            </w:pPr>
            <w:r>
              <w:rPr>
                <w:rFonts w:ascii="Arial" w:hAnsi="Arial" w:cs="Arial"/>
                <w:b/>
                <w:i w:val="0"/>
                <w:color w:val="333333"/>
                <w:sz w:val="17"/>
              </w:rPr>
              <w:t>الجامعة 2:11  •  King James Version</w:t>
            </w:r>
          </w:p>
        </w:tc>
      </w:tr>
    </w:tbl>
    <w:p>
      <w:pPr>
        <w:spacing w:after="32" w:line="235" w:lineRule="auto"/>
        <w:jc w:val="right"/>
        <w:bidi w:val="1"/>
      </w:pPr>
      <w:r>
        <w:rPr>
          <w:rFonts w:ascii="Arial" w:hAnsi="Arial" w:cs="Arial"/>
          <w:b w:val="0"/>
          <w:i w:val="0"/>
          <w:sz w:val="19"/>
        </w:rPr>
        <w:t>ينظر الجامعة إلى الإنجاز والممتلكات واللذة حين تصير هي الهدف، ويبين أنها لا تعطي معنى دائماً وحدها. الطموح يحتاج إلى غرض أكبر من الذات.</w:t>
      </w:r>
    </w:p>
    <w:p>
      <w:pPr>
        <w:spacing w:before="60" w:after="20"/>
        <w:jc w:val="right"/>
        <w:keepNext/>
        <w:bidi w:val="1"/>
      </w:pPr>
      <w:r>
        <w:rPr>
          <w:rFonts w:ascii="Arial" w:hAnsi="Arial" w:cs="Arial"/>
          <w:b/>
          <w:i w:val="0"/>
          <w:color w:val="1F4E79"/>
          <w:sz w:val="24"/>
        </w:rPr>
        <w:t>الطموح في العمل والدراسة والحياة اليومية</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4"/>
              </w:rPr>
              <w:t>هدف سليم</w:t>
            </w:r>
          </w:p>
        </w:tc>
        <w:tc>
          <w:tcPr>
            <w:tcW w:type="dxa" w:w="5032"/>
            <w:shd w:fill="D9EAF7"/>
          </w:tcPr>
          <w:p>
            <w:pPr>
              <w:jc w:val="center"/>
              <w:keepNext/>
              <w:bidi w:val="1"/>
            </w:pPr>
            <w:r>
              <w:rPr>
                <w:rFonts w:ascii="Arial" w:hAnsi="Arial" w:cs="Arial"/>
                <w:b/>
                <w:i w:val="0"/>
                <w:color w:val="1F4E79"/>
                <w:sz w:val="14"/>
              </w:rPr>
              <w:t>يصير غير سليم حين</w:t>
            </w:r>
          </w:p>
        </w:tc>
      </w:tr>
      <w:tr>
        <w:trPr>
          <w:cantSplit/>
        </w:trPr>
        <w:tc>
          <w:tcPr>
            <w:tcW w:type="dxa" w:w="5032"/>
          </w:tcPr>
          <w:p>
            <w:pPr>
              <w:spacing w:after="0"/>
              <w:jc w:val="right"/>
              <w:bidi w:val="1"/>
            </w:pPr>
            <w:r>
              <w:rPr>
                <w:rFonts w:ascii="Arial" w:hAnsi="Arial" w:cs="Arial"/>
                <w:b w:val="0"/>
                <w:i w:val="0"/>
                <w:sz w:val="14"/>
              </w:rPr>
              <w:t>أن نعمل عملنا جيداً</w:t>
            </w:r>
          </w:p>
        </w:tc>
        <w:tc>
          <w:tcPr>
            <w:tcW w:type="dxa" w:w="5032"/>
          </w:tcPr>
          <w:p>
            <w:pPr>
              <w:spacing w:after="0"/>
              <w:jc w:val="right"/>
              <w:bidi w:val="1"/>
            </w:pPr>
            <w:r>
              <w:rPr>
                <w:rFonts w:ascii="Arial" w:hAnsi="Arial" w:cs="Arial"/>
                <w:b w:val="0"/>
                <w:i w:val="0"/>
                <w:sz w:val="14"/>
              </w:rPr>
              <w:t>نكذب أو نتلاعب أو نتنمر أو نقوض زملاءنا لكي نتقدم.</w:t>
            </w:r>
          </w:p>
        </w:tc>
      </w:tr>
      <w:tr>
        <w:trPr>
          <w:cantSplit/>
        </w:trPr>
        <w:tc>
          <w:tcPr>
            <w:tcW w:type="dxa" w:w="5032"/>
          </w:tcPr>
          <w:p>
            <w:pPr>
              <w:spacing w:after="0"/>
              <w:jc w:val="right"/>
              <w:bidi w:val="1"/>
            </w:pPr>
            <w:r>
              <w:rPr>
                <w:rFonts w:ascii="Arial" w:hAnsi="Arial" w:cs="Arial"/>
                <w:b w:val="0"/>
                <w:i w:val="0"/>
                <w:sz w:val="14"/>
              </w:rPr>
              <w:t>أن نحصل على علم أو مؤهلات</w:t>
            </w:r>
          </w:p>
        </w:tc>
        <w:tc>
          <w:tcPr>
            <w:tcW w:type="dxa" w:w="5032"/>
          </w:tcPr>
          <w:p>
            <w:pPr>
              <w:spacing w:after="0"/>
              <w:jc w:val="right"/>
              <w:bidi w:val="1"/>
            </w:pPr>
            <w:r>
              <w:rPr>
                <w:rFonts w:ascii="Arial" w:hAnsi="Arial" w:cs="Arial"/>
                <w:b w:val="0"/>
                <w:i w:val="0"/>
                <w:sz w:val="14"/>
              </w:rPr>
              <w:t>تصير المعرفة طريقة للشعور بالتفوق.</w:t>
            </w:r>
          </w:p>
        </w:tc>
      </w:tr>
      <w:tr>
        <w:trPr>
          <w:cantSplit/>
        </w:trPr>
        <w:tc>
          <w:tcPr>
            <w:tcW w:type="dxa" w:w="5032"/>
          </w:tcPr>
          <w:p>
            <w:pPr>
              <w:spacing w:after="0"/>
              <w:jc w:val="right"/>
              <w:bidi w:val="1"/>
            </w:pPr>
            <w:r>
              <w:rPr>
                <w:rFonts w:ascii="Arial" w:hAnsi="Arial" w:cs="Arial"/>
                <w:b w:val="0"/>
                <w:i w:val="0"/>
                <w:sz w:val="14"/>
              </w:rPr>
              <w:t>أن نقود جيداً</w:t>
            </w:r>
          </w:p>
        </w:tc>
        <w:tc>
          <w:tcPr>
            <w:tcW w:type="dxa" w:w="5032"/>
          </w:tcPr>
          <w:p>
            <w:pPr>
              <w:spacing w:after="0"/>
              <w:jc w:val="right"/>
              <w:bidi w:val="1"/>
            </w:pPr>
            <w:r>
              <w:rPr>
                <w:rFonts w:ascii="Arial" w:hAnsi="Arial" w:cs="Arial"/>
                <w:b w:val="0"/>
                <w:i w:val="0"/>
                <w:sz w:val="14"/>
              </w:rPr>
              <w:t>تتحول القيادة إلى سيطرة أو مكانة أو إصرار على الكلمة الأخيرة.</w:t>
            </w:r>
          </w:p>
        </w:tc>
      </w:tr>
      <w:tr>
        <w:trPr>
          <w:cantSplit/>
        </w:trPr>
        <w:tc>
          <w:tcPr>
            <w:tcW w:type="dxa" w:w="5032"/>
          </w:tcPr>
          <w:p>
            <w:pPr>
              <w:spacing w:after="0"/>
              <w:jc w:val="right"/>
              <w:bidi w:val="1"/>
            </w:pPr>
            <w:r>
              <w:rPr>
                <w:rFonts w:ascii="Arial" w:hAnsi="Arial" w:cs="Arial"/>
                <w:b w:val="0"/>
                <w:i w:val="0"/>
                <w:sz w:val="14"/>
              </w:rPr>
              <w:t>أن نوفر لأسرنا</w:t>
            </w:r>
          </w:p>
        </w:tc>
        <w:tc>
          <w:tcPr>
            <w:tcW w:type="dxa" w:w="5032"/>
          </w:tcPr>
          <w:p>
            <w:pPr>
              <w:spacing w:after="0"/>
              <w:jc w:val="right"/>
              <w:bidi w:val="1"/>
            </w:pPr>
            <w:r>
              <w:rPr>
                <w:rFonts w:ascii="Arial" w:hAnsi="Arial" w:cs="Arial"/>
                <w:b w:val="0"/>
                <w:i w:val="0"/>
                <w:sz w:val="14"/>
              </w:rPr>
              <w:t>يطرد المال والترقي العبادة ومسؤولية الأسرة والنزاهة.</w:t>
            </w:r>
          </w:p>
        </w:tc>
      </w:tr>
      <w:tr>
        <w:trPr>
          <w:cantSplit/>
        </w:trPr>
        <w:tc>
          <w:tcPr>
            <w:tcW w:type="dxa" w:w="5032"/>
          </w:tcPr>
          <w:p>
            <w:pPr>
              <w:spacing w:after="0"/>
              <w:jc w:val="right"/>
              <w:bidi w:val="1"/>
            </w:pPr>
            <w:r>
              <w:rPr>
                <w:rFonts w:ascii="Arial" w:hAnsi="Arial" w:cs="Arial"/>
                <w:b w:val="0"/>
                <w:i w:val="0"/>
                <w:sz w:val="14"/>
              </w:rPr>
              <w:t>أن نخدم في الإكليسيا</w:t>
            </w:r>
          </w:p>
        </w:tc>
        <w:tc>
          <w:tcPr>
            <w:tcW w:type="dxa" w:w="5032"/>
          </w:tcPr>
          <w:p>
            <w:pPr>
              <w:spacing w:after="0"/>
              <w:jc w:val="right"/>
              <w:bidi w:val="1"/>
            </w:pPr>
            <w:r>
              <w:rPr>
                <w:rFonts w:ascii="Arial" w:hAnsi="Arial" w:cs="Arial"/>
                <w:b w:val="0"/>
                <w:i w:val="0"/>
                <w:sz w:val="14"/>
              </w:rPr>
              <w:t>نطلب المنصب أو الظهور أو المدح بدلاً من خير الجسد.</w:t>
            </w:r>
          </w:p>
        </w:tc>
      </w:tr>
    </w:tbl>
    <w:p>
      <w:pPr>
        <w:spacing w:before="60" w:after="20"/>
        <w:jc w:val="right"/>
        <w:keepNext/>
        <w:bidi w:val="1"/>
      </w:pPr>
      <w:r>
        <w:rPr>
          <w:rFonts w:ascii="Arial" w:hAnsi="Arial" w:cs="Arial"/>
          <w:b/>
          <w:i w:val="0"/>
          <w:color w:val="1F4E79"/>
          <w:sz w:val="24"/>
        </w:rPr>
        <w:t>المنافسة داخل الإكليسيا</w:t>
      </w:r>
    </w:p>
    <w:p>
      <w:pPr>
        <w:spacing w:after="32" w:line="235" w:lineRule="auto"/>
        <w:jc w:val="right"/>
        <w:bidi w:val="1"/>
      </w:pPr>
      <w:r>
        <w:rPr>
          <w:rFonts w:ascii="Arial" w:hAnsi="Arial" w:cs="Arial"/>
          <w:b w:val="0"/>
          <w:i w:val="0"/>
          <w:sz w:val="19"/>
        </w:rPr>
        <w:t>خلافات التلاميذ حول العظمة تحذرنا خاصة من الطموح داخل الإكليسيا. الكلام والتنظيم والتعليم والرعاية فرص للخدمة لا جوائز تُربح. لا يصير أخ أو أخت أكثر قيمة لله لأن دوره أكثر ظهوراً.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«لا شيئاً بتحزب أو بعجب، بل بتواضع حاسبين بعضكم البعض أفضل من أنفسهم. لا تنظروا كل واحد إلى ما هو لنفسه، بل كل واحد إلى ما هو لآخرين أيضاً.»</w:t>
            </w:r>
          </w:p>
          <w:p>
            <w:pPr>
              <w:spacing w:after="0"/>
              <w:jc w:val="right"/>
              <w:bidi w:val="1"/>
            </w:pPr>
            <w:r>
              <w:rPr>
                <w:rFonts w:ascii="Arial" w:hAnsi="Arial" w:cs="Arial"/>
                <w:b/>
                <w:i w:val="0"/>
                <w:color w:val="333333"/>
                <w:sz w:val="17"/>
              </w:rPr>
              <w:t>فيلبي 2:3-4  •  King James Version</w:t>
            </w:r>
          </w:p>
        </w:tc>
      </w:tr>
    </w:tbl>
    <w:p>
      <w:pPr>
        <w:spacing w:before="60" w:after="20"/>
        <w:jc w:val="right"/>
        <w:keepNext/>
        <w:bidi w:val="1"/>
      </w:pPr>
      <w:r>
        <w:rPr>
          <w:rFonts w:ascii="Arial" w:hAnsi="Arial" w:cs="Arial"/>
          <w:b/>
          <w:i w:val="0"/>
          <w:color w:val="1F4E79"/>
          <w:sz w:val="24"/>
        </w:rPr>
        <w:t>حين يجلب الطموح نفوذاً</w:t>
      </w:r>
    </w:p>
    <w:p>
      <w:pPr>
        <w:spacing w:after="32" w:line="235" w:lineRule="auto"/>
        <w:jc w:val="right"/>
        <w:bidi w:val="1"/>
      </w:pPr>
      <w:r>
        <w:rPr>
          <w:rFonts w:ascii="Arial" w:hAnsi="Arial" w:cs="Arial"/>
          <w:b w:val="0"/>
          <w:i w:val="0"/>
          <w:sz w:val="19"/>
        </w:rPr>
        <w:t>قد يصير بعض التلاميذ أصحاب عمل أو مدراء أو معلمين أو منظمين أو أشخاصاً تؤثر قراراتهم في كثيرين. يمكن استخدام النفوذ جيداً. الاختبار هو: هل يصير من تحت رعايتنا أكثر أماناً وقوة ودعماً بسبب قيادتنا؟</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0"/>
              <w:jc w:val="right"/>
              <w:bidi w:val="1"/>
            </w:pPr>
            <w:r>
              <w:rPr>
                <w:rFonts w:ascii="Arial" w:hAnsi="Arial" w:cs="Arial"/>
                <w:b/>
                <w:i w:val="0"/>
                <w:color w:val="1F4E79"/>
                <w:sz w:val="20"/>
              </w:rPr>
              <w:t>قيادة على مثال المسيح</w:t>
            </w:r>
          </w:p>
          <w:p>
            <w:pPr>
              <w:spacing w:after="0"/>
              <w:jc w:val="right"/>
              <w:bidi w:val="1"/>
            </w:pPr>
            <w:r>
              <w:rPr>
                <w:rFonts w:ascii="Arial" w:hAnsi="Arial" w:cs="Arial"/>
                <w:b w:val="0"/>
                <w:i w:val="0"/>
                <w:sz w:val="18"/>
              </w:rPr>
              <w:t>القيادة المسيحية ليست ضعفاً. كان يسوع يتكلم بحزم ويتخذ قرارات ويصحح الخطأ، لكن سلطانه لم يُستخدم لإشباع الأنا. قاد بالحق والرحمة وبذل الذات.</w:t>
            </w:r>
          </w:p>
        </w:tc>
      </w:tr>
    </w:tbl>
    <w:p>
      <w:pPr>
        <w:spacing w:before="60" w:after="20"/>
        <w:jc w:val="right"/>
        <w:keepNext/>
        <w:bidi w:val="1"/>
      </w:pPr>
      <w:r>
        <w:rPr>
          <w:rFonts w:ascii="Arial" w:hAnsi="Arial" w:cs="Arial"/>
          <w:b/>
          <w:i w:val="0"/>
          <w:color w:val="1F4E79"/>
          <w:sz w:val="24"/>
        </w:rPr>
        <w:t>تحويل الطموح إلى خدمة</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5"/>
              </w:rPr>
              <w:t>إن كانت لديك</w:t>
            </w:r>
          </w:p>
        </w:tc>
        <w:tc>
          <w:tcPr>
            <w:tcW w:type="dxa" w:w="5032"/>
            <w:shd w:fill="D9EAF7"/>
          </w:tcPr>
          <w:p>
            <w:pPr>
              <w:jc w:val="center"/>
              <w:keepNext/>
              <w:bidi w:val="1"/>
            </w:pPr>
            <w:r>
              <w:rPr>
                <w:rFonts w:ascii="Arial" w:hAnsi="Arial" w:cs="Arial"/>
                <w:b/>
                <w:i w:val="0"/>
                <w:color w:val="1F4E79"/>
                <w:sz w:val="15"/>
              </w:rPr>
              <w:t>فاستخدمها لكي</w:t>
            </w:r>
          </w:p>
        </w:tc>
      </w:tr>
      <w:tr>
        <w:trPr>
          <w:cantSplit/>
        </w:trPr>
        <w:tc>
          <w:tcPr>
            <w:tcW w:type="dxa" w:w="5032"/>
          </w:tcPr>
          <w:p>
            <w:pPr>
              <w:spacing w:after="0"/>
              <w:jc w:val="right"/>
              <w:bidi w:val="1"/>
            </w:pPr>
            <w:r>
              <w:rPr>
                <w:rFonts w:ascii="Arial" w:hAnsi="Arial" w:cs="Arial"/>
                <w:b w:val="0"/>
                <w:i w:val="0"/>
                <w:sz w:val="15"/>
              </w:rPr>
              <w:t>قدرة تنظيمية</w:t>
            </w:r>
          </w:p>
        </w:tc>
        <w:tc>
          <w:tcPr>
            <w:tcW w:type="dxa" w:w="5032"/>
          </w:tcPr>
          <w:p>
            <w:pPr>
              <w:spacing w:after="0"/>
              <w:jc w:val="right"/>
              <w:bidi w:val="1"/>
            </w:pPr>
            <w:r>
              <w:rPr>
                <w:rFonts w:ascii="Arial" w:hAnsi="Arial" w:cs="Arial"/>
                <w:b w:val="0"/>
                <w:i w:val="0"/>
                <w:sz w:val="15"/>
              </w:rPr>
              <w:t>تجعل العمل أسهل وأعدل للآخرين.</w:t>
            </w:r>
          </w:p>
        </w:tc>
      </w:tr>
      <w:tr>
        <w:trPr>
          <w:cantSplit/>
        </w:trPr>
        <w:tc>
          <w:tcPr>
            <w:tcW w:type="dxa" w:w="5032"/>
          </w:tcPr>
          <w:p>
            <w:pPr>
              <w:spacing w:after="0"/>
              <w:jc w:val="right"/>
              <w:bidi w:val="1"/>
            </w:pPr>
            <w:r>
              <w:rPr>
                <w:rFonts w:ascii="Arial" w:hAnsi="Arial" w:cs="Arial"/>
                <w:b w:val="0"/>
                <w:i w:val="0"/>
                <w:sz w:val="15"/>
              </w:rPr>
              <w:t>مهارة مهنية أو تجارية</w:t>
            </w:r>
          </w:p>
        </w:tc>
        <w:tc>
          <w:tcPr>
            <w:tcW w:type="dxa" w:w="5032"/>
          </w:tcPr>
          <w:p>
            <w:pPr>
              <w:spacing w:after="0"/>
              <w:jc w:val="right"/>
              <w:bidi w:val="1"/>
            </w:pPr>
            <w:r>
              <w:rPr>
                <w:rFonts w:ascii="Arial" w:hAnsi="Arial" w:cs="Arial"/>
                <w:b w:val="0"/>
                <w:i w:val="0"/>
                <w:sz w:val="15"/>
              </w:rPr>
              <w:t>تتصرف بأمانة وتخلق عملاً جيداً وتعامل الناس بعدل.</w:t>
            </w:r>
          </w:p>
        </w:tc>
      </w:tr>
      <w:tr>
        <w:trPr>
          <w:cantSplit/>
        </w:trPr>
        <w:tc>
          <w:tcPr>
            <w:tcW w:type="dxa" w:w="5032"/>
          </w:tcPr>
          <w:p>
            <w:pPr>
              <w:spacing w:after="0"/>
              <w:jc w:val="right"/>
              <w:bidi w:val="1"/>
            </w:pPr>
            <w:r>
              <w:rPr>
                <w:rFonts w:ascii="Arial" w:hAnsi="Arial" w:cs="Arial"/>
                <w:b w:val="0"/>
                <w:i w:val="0"/>
                <w:sz w:val="15"/>
              </w:rPr>
              <w:t>معرفة بالكتاب</w:t>
            </w:r>
          </w:p>
        </w:tc>
        <w:tc>
          <w:tcPr>
            <w:tcW w:type="dxa" w:w="5032"/>
          </w:tcPr>
          <w:p>
            <w:pPr>
              <w:spacing w:after="0"/>
              <w:jc w:val="right"/>
              <w:bidi w:val="1"/>
            </w:pPr>
            <w:r>
              <w:rPr>
                <w:rFonts w:ascii="Arial" w:hAnsi="Arial" w:cs="Arial"/>
                <w:b w:val="0"/>
                <w:i w:val="0"/>
                <w:sz w:val="15"/>
              </w:rPr>
              <w:t>تعلم بصبر وتقوي الإيمان بدلاً من استعراض العلم.</w:t>
            </w:r>
          </w:p>
        </w:tc>
      </w:tr>
      <w:tr>
        <w:trPr>
          <w:cantSplit/>
        </w:trPr>
        <w:tc>
          <w:tcPr>
            <w:tcW w:type="dxa" w:w="5032"/>
          </w:tcPr>
          <w:p>
            <w:pPr>
              <w:spacing w:after="0"/>
              <w:jc w:val="right"/>
              <w:bidi w:val="1"/>
            </w:pPr>
            <w:r>
              <w:rPr>
                <w:rFonts w:ascii="Arial" w:hAnsi="Arial" w:cs="Arial"/>
                <w:b w:val="0"/>
                <w:i w:val="0"/>
                <w:sz w:val="15"/>
              </w:rPr>
              <w:t>مال أو نفوذ</w:t>
            </w:r>
          </w:p>
        </w:tc>
        <w:tc>
          <w:tcPr>
            <w:tcW w:type="dxa" w:w="5032"/>
          </w:tcPr>
          <w:p>
            <w:pPr>
              <w:spacing w:after="0"/>
              <w:jc w:val="right"/>
              <w:bidi w:val="1"/>
            </w:pPr>
            <w:r>
              <w:rPr>
                <w:rFonts w:ascii="Arial" w:hAnsi="Arial" w:cs="Arial"/>
                <w:b w:val="0"/>
                <w:i w:val="0"/>
                <w:sz w:val="15"/>
              </w:rPr>
              <w:t>تدعم احتياجات نافعة دون طلب المدح.</w:t>
            </w:r>
          </w:p>
        </w:tc>
      </w:tr>
      <w:tr>
        <w:trPr>
          <w:cantSplit/>
        </w:trPr>
        <w:tc>
          <w:tcPr>
            <w:tcW w:type="dxa" w:w="5032"/>
          </w:tcPr>
          <w:p>
            <w:pPr>
              <w:spacing w:after="0"/>
              <w:jc w:val="right"/>
              <w:bidi w:val="1"/>
            </w:pPr>
            <w:r>
              <w:rPr>
                <w:rFonts w:ascii="Arial" w:hAnsi="Arial" w:cs="Arial"/>
                <w:b w:val="0"/>
                <w:i w:val="0"/>
                <w:sz w:val="15"/>
              </w:rPr>
              <w:t>طاقة وتصميم</w:t>
            </w:r>
          </w:p>
        </w:tc>
        <w:tc>
          <w:tcPr>
            <w:tcW w:type="dxa" w:w="5032"/>
          </w:tcPr>
          <w:p>
            <w:pPr>
              <w:spacing w:after="0"/>
              <w:jc w:val="right"/>
              <w:bidi w:val="1"/>
            </w:pPr>
            <w:r>
              <w:rPr>
                <w:rFonts w:ascii="Arial" w:hAnsi="Arial" w:cs="Arial"/>
                <w:b w:val="0"/>
                <w:i w:val="0"/>
                <w:sz w:val="15"/>
              </w:rPr>
              <w:t>تثابر في الكرازة والخدمة والرعاية حين يكون العمل صعباً.</w:t>
            </w:r>
          </w:p>
        </w:tc>
      </w:tr>
    </w:tbl>
    <w:p>
      <w:pPr>
        <w:spacing w:before="60" w:after="20"/>
        <w:jc w:val="right"/>
        <w:keepNext/>
        <w:bidi w:val="1"/>
      </w:pPr>
      <w:r>
        <w:rPr>
          <w:rFonts w:ascii="Arial" w:hAnsi="Arial" w:cs="Arial"/>
          <w:b/>
          <w:i w:val="0"/>
          <w:color w:val="1F4E79"/>
          <w:sz w:val="24"/>
        </w:rPr>
        <w:t>الخلاصة</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1</w:t>
            </w:r>
          </w:p>
        </w:tc>
        <w:tc>
          <w:tcPr>
            <w:tcW w:type="dxa" w:w="5032"/>
          </w:tcPr>
          <w:p>
            <w:pPr>
              <w:jc w:val="right"/>
              <w:bidi w:val="1"/>
            </w:pPr>
            <w:r>
              <w:rPr>
                <w:rFonts w:ascii="Arial" w:hAnsi="Arial" w:cs="Arial"/>
                <w:b/>
                <w:i w:val="0"/>
                <w:color w:val="1F4E79"/>
                <w:sz w:val="18"/>
              </w:rPr>
              <w:t>حذر يسوع من المنافسة على المكانة والكرامة.</w:t>
            </w:r>
          </w:p>
          <w:p>
            <w:pPr>
              <w:spacing w:after="0"/>
              <w:jc w:val="right"/>
              <w:bidi w:val="1"/>
            </w:pPr>
            <w:r>
              <w:rPr>
                <w:rFonts w:ascii="Arial" w:hAnsi="Arial" w:cs="Arial"/>
                <w:b w:val="0"/>
                <w:i w:val="0"/>
                <w:sz w:val="18"/>
              </w:rPr>
              <w:t>العظمة المسيحية تُقاس بالخدمة لا بالرتبة.</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2</w:t>
            </w:r>
          </w:p>
        </w:tc>
        <w:tc>
          <w:tcPr>
            <w:tcW w:type="dxa" w:w="5032"/>
          </w:tcPr>
          <w:p>
            <w:pPr>
              <w:jc w:val="right"/>
              <w:bidi w:val="1"/>
            </w:pPr>
            <w:r>
              <w:rPr>
                <w:rFonts w:ascii="Arial" w:hAnsi="Arial" w:cs="Arial"/>
                <w:b/>
                <w:i w:val="0"/>
                <w:color w:val="1F4E79"/>
                <w:sz w:val="18"/>
              </w:rPr>
              <w:t>التواضع أساسي.</w:t>
            </w:r>
          </w:p>
          <w:p>
            <w:pPr>
              <w:spacing w:after="0"/>
              <w:jc w:val="right"/>
              <w:bidi w:val="1"/>
            </w:pPr>
            <w:r>
              <w:rPr>
                <w:rFonts w:ascii="Arial" w:hAnsi="Arial" w:cs="Arial"/>
                <w:b w:val="0"/>
                <w:i w:val="0"/>
                <w:sz w:val="18"/>
              </w:rPr>
              <w:t>أعظم تلميذ هو المستعد أن يخدم.</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3</w:t>
            </w:r>
          </w:p>
        </w:tc>
        <w:tc>
          <w:tcPr>
            <w:tcW w:type="dxa" w:w="5032"/>
          </w:tcPr>
          <w:p>
            <w:pPr>
              <w:jc w:val="right"/>
              <w:bidi w:val="1"/>
            </w:pPr>
            <w:r>
              <w:rPr>
                <w:rFonts w:ascii="Arial" w:hAnsi="Arial" w:cs="Arial"/>
                <w:b/>
                <w:i w:val="0"/>
                <w:color w:val="1F4E79"/>
                <w:sz w:val="18"/>
              </w:rPr>
              <w:t>ليست كل رغبة في الإنجاز خطأ.</w:t>
            </w:r>
          </w:p>
          <w:p>
            <w:pPr>
              <w:spacing w:after="0"/>
              <w:jc w:val="right"/>
              <w:bidi w:val="1"/>
            </w:pPr>
            <w:r>
              <w:rPr>
                <w:rFonts w:ascii="Arial" w:hAnsi="Arial" w:cs="Arial"/>
                <w:b w:val="0"/>
                <w:i w:val="0"/>
                <w:sz w:val="18"/>
              </w:rPr>
              <w:t>يمكن للكتاب أن يوافق على الرغبة في «عمل صالح».</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4</w:t>
            </w:r>
          </w:p>
        </w:tc>
        <w:tc>
          <w:tcPr>
            <w:tcW w:type="dxa" w:w="5032"/>
          </w:tcPr>
          <w:p>
            <w:pPr>
              <w:jc w:val="right"/>
              <w:bidi w:val="1"/>
            </w:pPr>
            <w:r>
              <w:rPr>
                <w:rFonts w:ascii="Arial" w:hAnsi="Arial" w:cs="Arial"/>
                <w:b/>
                <w:i w:val="0"/>
                <w:color w:val="1F4E79"/>
                <w:sz w:val="18"/>
              </w:rPr>
              <w:t>يصير الطموح خطية حين يقوده الكبرياء أو الغيرة أو الطمع أو السيطرة.</w:t>
            </w:r>
          </w:p>
          <w:p>
            <w:pPr>
              <w:spacing w:after="0"/>
              <w:jc w:val="right"/>
              <w:bidi w:val="1"/>
            </w:pPr>
            <w:r>
              <w:rPr>
                <w:rFonts w:ascii="Arial" w:hAnsi="Arial" w:cs="Arial"/>
                <w:b w:val="0"/>
                <w:i w:val="0"/>
                <w:sz w:val="18"/>
              </w:rPr>
              <w:t>ينبغي فحص الدوافع والوسائل لا الهدف فقط.</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5</w:t>
            </w:r>
          </w:p>
        </w:tc>
        <w:tc>
          <w:tcPr>
            <w:tcW w:type="dxa" w:w="5032"/>
          </w:tcPr>
          <w:p>
            <w:pPr>
              <w:jc w:val="right"/>
              <w:bidi w:val="1"/>
            </w:pPr>
            <w:r>
              <w:rPr>
                <w:rFonts w:ascii="Arial" w:hAnsi="Arial" w:cs="Arial"/>
                <w:b/>
                <w:i w:val="0"/>
                <w:color w:val="1F4E79"/>
                <w:sz w:val="18"/>
              </w:rPr>
              <w:t>هامان مثال لقوة أفسدها الكبرياء.</w:t>
            </w:r>
          </w:p>
          <w:p>
            <w:pPr>
              <w:spacing w:after="0"/>
              <w:jc w:val="right"/>
              <w:bidi w:val="1"/>
            </w:pPr>
            <w:r>
              <w:rPr>
                <w:rFonts w:ascii="Arial" w:hAnsi="Arial" w:cs="Arial"/>
                <w:b w:val="0"/>
                <w:i w:val="0"/>
                <w:sz w:val="18"/>
              </w:rPr>
              <w:t>الجرح الشخصي والنفوذ اجتمعا لإيذاء الآخرين.</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6</w:t>
            </w:r>
          </w:p>
        </w:tc>
        <w:tc>
          <w:tcPr>
            <w:tcW w:type="dxa" w:w="5032"/>
          </w:tcPr>
          <w:p>
            <w:pPr>
              <w:jc w:val="right"/>
              <w:bidi w:val="1"/>
            </w:pPr>
            <w:r>
              <w:rPr>
                <w:rFonts w:ascii="Arial" w:hAnsi="Arial" w:cs="Arial"/>
                <w:b/>
                <w:i w:val="0"/>
                <w:color w:val="1F4E79"/>
                <w:sz w:val="18"/>
              </w:rPr>
              <w:t>دانيال جمع القدرة والمسؤولية مع التواضع.</w:t>
            </w:r>
          </w:p>
          <w:p>
            <w:pPr>
              <w:spacing w:after="0"/>
              <w:jc w:val="right"/>
              <w:bidi w:val="1"/>
            </w:pPr>
            <w:r>
              <w:rPr>
                <w:rFonts w:ascii="Arial" w:hAnsi="Arial" w:cs="Arial"/>
                <w:b w:val="0"/>
                <w:i w:val="0"/>
                <w:sz w:val="18"/>
              </w:rPr>
              <w:t>وجّه المجد إلى الله لا إلى نفسه.</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7</w:t>
            </w:r>
          </w:p>
        </w:tc>
        <w:tc>
          <w:tcPr>
            <w:tcW w:type="dxa" w:w="5032"/>
          </w:tcPr>
          <w:p>
            <w:pPr>
              <w:jc w:val="right"/>
              <w:bidi w:val="1"/>
            </w:pPr>
            <w:r>
              <w:rPr>
                <w:rFonts w:ascii="Arial" w:hAnsi="Arial" w:cs="Arial"/>
                <w:b/>
                <w:i w:val="0"/>
                <w:color w:val="1F4E79"/>
                <w:sz w:val="18"/>
              </w:rPr>
              <w:t>الإنجاز بلا الله لا يعطي معنى دائماً.</w:t>
            </w:r>
          </w:p>
          <w:p>
            <w:pPr>
              <w:spacing w:after="0"/>
              <w:jc w:val="right"/>
              <w:bidi w:val="1"/>
            </w:pPr>
            <w:r>
              <w:rPr>
                <w:rFonts w:ascii="Arial" w:hAnsi="Arial" w:cs="Arial"/>
                <w:b w:val="0"/>
                <w:i w:val="0"/>
                <w:sz w:val="18"/>
              </w:rPr>
              <w:t>يحتاج الطموح إلى غرض أبعد من الذات.</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8</w:t>
            </w:r>
          </w:p>
        </w:tc>
        <w:tc>
          <w:tcPr>
            <w:tcW w:type="dxa" w:w="5032"/>
          </w:tcPr>
          <w:p>
            <w:pPr>
              <w:jc w:val="right"/>
              <w:bidi w:val="1"/>
            </w:pPr>
            <w:r>
              <w:rPr>
                <w:rFonts w:ascii="Arial" w:hAnsi="Arial" w:cs="Arial"/>
                <w:b/>
                <w:i w:val="0"/>
                <w:color w:val="1F4E79"/>
                <w:sz w:val="18"/>
              </w:rPr>
              <w:t>في العمل والأسرة والإكليسيا الوسائل مهمة مثل الأهداف.</w:t>
            </w:r>
          </w:p>
          <w:p>
            <w:pPr>
              <w:spacing w:after="0"/>
              <w:jc w:val="right"/>
              <w:bidi w:val="1"/>
            </w:pPr>
            <w:r>
              <w:rPr>
                <w:rFonts w:ascii="Arial" w:hAnsi="Arial" w:cs="Arial"/>
                <w:b w:val="0"/>
                <w:i w:val="0"/>
                <w:sz w:val="18"/>
              </w:rPr>
              <w:t>لا تبرر النتيجة الكذب أو التلاعب أو القسوة.</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9</w:t>
            </w:r>
          </w:p>
        </w:tc>
        <w:tc>
          <w:tcPr>
            <w:tcW w:type="dxa" w:w="5032"/>
          </w:tcPr>
          <w:p>
            <w:pPr>
              <w:jc w:val="right"/>
              <w:bidi w:val="1"/>
            </w:pPr>
            <w:r>
              <w:rPr>
                <w:rFonts w:ascii="Arial" w:hAnsi="Arial" w:cs="Arial"/>
                <w:b/>
                <w:i w:val="0"/>
                <w:color w:val="1F4E79"/>
                <w:sz w:val="18"/>
              </w:rPr>
              <w:t>أفضل طموح مسيحي هو أن نصير أنفع في خدمة الله.</w:t>
            </w:r>
          </w:p>
          <w:p>
            <w:pPr>
              <w:spacing w:after="0"/>
              <w:jc w:val="right"/>
              <w:bidi w:val="1"/>
            </w:pPr>
            <w:r>
              <w:rPr>
                <w:rFonts w:ascii="Arial" w:hAnsi="Arial" w:cs="Arial"/>
                <w:b w:val="0"/>
                <w:i w:val="0"/>
                <w:sz w:val="18"/>
              </w:rPr>
              <w:t>وأن نساعد الآخرين أكثر.</w:t>
            </w:r>
          </w:p>
        </w:tc>
      </w:tr>
    </w:tbl>
    <w:p>
      <w:pPr>
        <w:spacing w:before="60" w:after="20"/>
        <w:jc w:val="right"/>
        <w:keepNext/>
        <w:bidi w:val="1"/>
      </w:pPr>
      <w:r>
        <w:rPr>
          <w:rFonts w:ascii="Arial" w:hAnsi="Arial" w:cs="Arial"/>
          <w:b/>
          <w:i w:val="0"/>
          <w:color w:val="1F4E79"/>
          <w:sz w:val="24"/>
        </w:rPr>
        <w:t>فصول للقراءة</w:t>
      </w:r>
    </w:p>
    <w:p>
      <w:pPr>
        <w:spacing w:after="32" w:line="235" w:lineRule="auto"/>
        <w:jc w:val="right"/>
        <w:bidi w:val="1"/>
      </w:pPr>
      <w:r>
        <w:rPr>
          <w:rFonts w:ascii="Arial" w:hAnsi="Arial" w:cs="Arial"/>
          <w:b w:val="0"/>
          <w:i w:val="0"/>
          <w:sz w:val="19"/>
        </w:rPr>
        <w:t>متى 18:1-5  •  متى 20:20-28  •  متى 23:1-12  •  يوحنا 13:1-17  •  أستير 3-7  •  دانيال 2:24-30  •  الجامعة 2  •  فيلبي 2:1-11</w:t>
      </w:r>
    </w:p>
    <w:p>
      <w:pPr>
        <w:spacing w:before="60" w:after="20"/>
        <w:jc w:val="right"/>
        <w:keepNext/>
        <w:bidi w:val="1"/>
      </w:pPr>
      <w:r>
        <w:rPr>
          <w:rFonts w:ascii="Arial" w:hAnsi="Arial" w:cs="Arial"/>
          <w:b/>
          <w:i w:val="0"/>
          <w:color w:val="1F4E79"/>
          <w:sz w:val="24"/>
        </w:rPr>
        <w:t>للحفظ  •  فيلبي 2:3-4</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«لا شيئاً بتحزب أو بعجب، بل بتواضع حاسبين بعضكم البعض أفضل من أنفسهم. لا تنظروا كل واحد إلى ما هو لنفسه، بل كل واحد إلى ما هو لآخرين أيضاً.»</w:t>
            </w:r>
          </w:p>
          <w:p>
            <w:pPr>
              <w:spacing w:after="0"/>
              <w:jc w:val="right"/>
              <w:bidi w:val="1"/>
            </w:pPr>
            <w:r>
              <w:rPr>
                <w:rFonts w:ascii="Arial" w:hAnsi="Arial" w:cs="Arial"/>
                <w:b/>
                <w:i w:val="0"/>
                <w:color w:val="333333"/>
                <w:sz w:val="17"/>
              </w:rPr>
              <w:t>فيلبي 2:3-4  •  King James Version</w:t>
            </w:r>
          </w:p>
        </w:tc>
      </w:tr>
    </w:tbl>
    <w:sectPr w:rsidR="00FC693F" w:rsidRPr="0006063C" w:rsidSect="00034616">
      <w:headerReference w:type="default" r:id="rId9"/>
      <w:footerReference w:type="default" r:id="rId10"/>
      <w:pgSz w:w="11909" w:h="16834"/>
      <w:pgMar w:top="720" w:right="922" w:bottom="749"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