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bidi w:val="1"/>
      </w:pPr>
      <w:r>
        <w:rPr>
          <w:rFonts w:ascii="Arial" w:hAnsi="Arial" w:cs="Arial"/>
          <w:b/>
          <w:i w:val="0"/>
          <w:color w:val="1F4E79"/>
          <w:sz w:val="20"/>
        </w:rPr>
        <w:t>الدرس 50</w:t>
      </w:r>
    </w:p>
    <w:p>
      <w:pPr>
        <w:jc w:val="center"/>
        <w:bidi w:val="1"/>
      </w:pPr>
      <w:r>
        <w:rPr>
          <w:rFonts w:ascii="Arial" w:hAnsi="Arial" w:cs="Arial"/>
          <w:b/>
          <w:i w:val="0"/>
          <w:color w:val="1F4E79"/>
          <w:sz w:val="35"/>
        </w:rPr>
        <w:t>الأمانة أمام الله وابنه يسوع المسيح</w:t>
      </w:r>
    </w:p>
    <w:p>
      <w:pPr>
        <w:spacing w:after="80"/>
        <w:jc w:val="center"/>
        <w:bidi w:val="1"/>
      </w:pPr>
      <w:r>
        <w:rPr>
          <w:rFonts w:ascii="Arial" w:hAnsi="Arial" w:cs="Arial"/>
          <w:b/>
          <w:i w:val="0"/>
          <w:color w:val="333333"/>
          <w:sz w:val="19"/>
        </w:rPr>
        <w:t>القراءة  •  أعمال 5</w:t>
      </w:r>
    </w:p>
    <w:p>
      <w:pPr>
        <w:spacing w:before="60" w:after="20"/>
        <w:jc w:val="right"/>
        <w:keepNext/>
        <w:bidi w:val="1"/>
      </w:pPr>
      <w:r>
        <w:rPr>
          <w:rFonts w:ascii="Arial" w:hAnsi="Arial" w:cs="Arial"/>
          <w:b/>
          <w:i w:val="0"/>
          <w:color w:val="1F4E79"/>
          <w:sz w:val="24"/>
        </w:rPr>
        <w:t>الأمانة أكثر من حفظ القواعد</w:t>
      </w:r>
    </w:p>
    <w:p>
      <w:pPr>
        <w:spacing w:after="32" w:line="235" w:lineRule="auto"/>
        <w:jc w:val="right"/>
        <w:bidi w:val="1"/>
      </w:pPr>
      <w:r>
        <w:rPr>
          <w:rFonts w:ascii="Arial" w:hAnsi="Arial" w:cs="Arial"/>
          <w:b w:val="0"/>
          <w:i w:val="0"/>
          <w:sz w:val="19"/>
        </w:rPr>
        <w:t>الأمانة تعني الصدق والنزاهة والتحرر من الخداع المتعمد. ينبغي أن يكون التلميذ الشخص نفسه في السر والعلن. طاعة الله واحترام السلطة القانونية جزء من هذه النزاهة، لكن الأمانة تبدأ في القلب.</w:t>
      </w:r>
    </w:p>
    <w:p>
      <w:pPr>
        <w:spacing w:before="60" w:after="20"/>
        <w:jc w:val="right"/>
        <w:keepNext/>
        <w:bidi w:val="1"/>
      </w:pPr>
      <w:r>
        <w:rPr>
          <w:rFonts w:ascii="Arial" w:hAnsi="Arial" w:cs="Arial"/>
          <w:b/>
          <w:i w:val="0"/>
          <w:color w:val="1F4E79"/>
          <w:sz w:val="24"/>
        </w:rPr>
        <w:t>العيش مكشوفاً أمام الله</w:t>
      </w:r>
    </w:p>
    <w:p>
      <w:pPr>
        <w:spacing w:after="32" w:line="235" w:lineRule="auto"/>
        <w:jc w:val="right"/>
        <w:bidi w:val="1"/>
      </w:pPr>
      <w:r>
        <w:rPr>
          <w:rFonts w:ascii="Arial" w:hAnsi="Arial" w:cs="Arial"/>
          <w:b w:val="0"/>
          <w:i w:val="0"/>
          <w:sz w:val="19"/>
        </w:rPr>
        <w:t>كل يوم يحمل قرارات حول ما نقول ونفعل وكيف نتعامل مع المال والعمل والناس. بعض الاختيارات يراها الجميع وبعضها قد يخفى. يعلّم الكتاب أن لا شيء مخفي عن الله وأن التلميذ ينبغي أن يعيش بطريقة تحتمل النور.</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«لأن كل من يعمل السيآت يبغض النور ولا يأتي إلى النور لئلا توبخ أعماله. وأما من يفعل الحق فيقبل إلى النور لكي تظهر أعماله أنها بالله معمولة.»</w:t>
            </w:r>
          </w:p>
          <w:p>
            <w:pPr>
              <w:spacing w:after="0"/>
              <w:jc w:val="right"/>
              <w:bidi w:val="1"/>
            </w:pPr>
            <w:r>
              <w:rPr>
                <w:rFonts w:ascii="Arial" w:hAnsi="Arial" w:cs="Arial"/>
                <w:b/>
                <w:i w:val="0"/>
                <w:color w:val="333333"/>
                <w:sz w:val="17"/>
              </w:rPr>
              <w:t>يوحنا 3:20-21  •  King James Version</w:t>
            </w:r>
          </w:p>
        </w:tc>
      </w:tr>
    </w:tbl>
    <w:p>
      <w:pPr>
        <w:spacing w:before="60" w:after="20"/>
        <w:jc w:val="right"/>
        <w:keepNext/>
        <w:bidi w:val="1"/>
      </w:pPr>
      <w:r>
        <w:rPr>
          <w:rFonts w:ascii="Arial" w:hAnsi="Arial" w:cs="Arial"/>
          <w:b/>
          <w:i w:val="0"/>
          <w:color w:val="1F4E79"/>
          <w:sz w:val="24"/>
        </w:rPr>
        <w:t>الأمانة جزء من شهادتنا</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«لا تجازوا أحداً عن شر بشر. معتنين بأمور حسنة قدام جميع الناس.»</w:t>
            </w:r>
          </w:p>
          <w:p>
            <w:pPr>
              <w:spacing w:after="0"/>
              <w:jc w:val="right"/>
              <w:bidi w:val="1"/>
            </w:pPr>
            <w:r>
              <w:rPr>
                <w:rFonts w:ascii="Arial" w:hAnsi="Arial" w:cs="Arial"/>
                <w:b/>
                <w:i w:val="0"/>
                <w:color w:val="333333"/>
                <w:sz w:val="17"/>
              </w:rPr>
              <w:t>رومية 12:17  •  King James Version</w:t>
            </w:r>
          </w:p>
        </w:tc>
      </w:tr>
    </w:tbl>
    <w:p>
      <w:pPr>
        <w:spacing w:after="32" w:line="235" w:lineRule="auto"/>
        <w:jc w:val="right"/>
        <w:bidi w:val="1"/>
      </w:pPr>
      <w:r>
        <w:rPr>
          <w:rFonts w:ascii="Arial" w:hAnsi="Arial" w:cs="Arial"/>
          <w:b w:val="0"/>
          <w:i w:val="0"/>
          <w:sz w:val="19"/>
        </w:rPr>
        <w:t>يعلم بولس أن سلوك المؤمن يؤثر في سماع الآخرين للإنجيل. من يتكلم عن المسيح وهو معروف بالكذب أو الغش أو إساءة استخدام المسؤولية يضر الرسالة التي يحاول نشرها. وهذا مهم خصوصاً في العمل والتجارة والأسرة والإكليسيا والمال.</w:t>
      </w:r>
    </w:p>
    <w:p>
      <w:pPr>
        <w:spacing w:before="60" w:after="20"/>
        <w:jc w:val="right"/>
        <w:keepNext/>
        <w:bidi w:val="1"/>
      </w:pPr>
      <w:r>
        <w:rPr>
          <w:rFonts w:ascii="Arial" w:hAnsi="Arial" w:cs="Arial"/>
          <w:b/>
          <w:i w:val="0"/>
          <w:color w:val="1F4E79"/>
          <w:sz w:val="24"/>
        </w:rPr>
        <w:t>بماذا ينبغي أن تمتلئ عقولنا؟</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«أخيراً أيها الإخوة كل ما هو حق، كل ما هو جليل، كل ما هو عادل، كل ما هو طاهر، كل ما هو مسر، كل ما صيته حسن ... ففي هذه افتكروا.»</w:t>
            </w:r>
          </w:p>
          <w:p>
            <w:pPr>
              <w:spacing w:after="0"/>
              <w:jc w:val="right"/>
              <w:bidi w:val="1"/>
            </w:pPr>
            <w:r>
              <w:rPr>
                <w:rFonts w:ascii="Arial" w:hAnsi="Arial" w:cs="Arial"/>
                <w:b/>
                <w:i w:val="0"/>
                <w:color w:val="333333"/>
                <w:sz w:val="17"/>
              </w:rPr>
              <w:t>فيلبي 4:8  •  King James Version</w:t>
            </w:r>
          </w:p>
        </w:tc>
      </w:tr>
    </w:tbl>
    <w:p>
      <w:pPr>
        <w:spacing w:before="60" w:after="20"/>
        <w:jc w:val="right"/>
        <w:keepNext/>
        <w:bidi w:val="1"/>
      </w:pPr>
      <w:r>
        <w:rPr>
          <w:rFonts w:ascii="Arial" w:hAnsi="Arial" w:cs="Arial"/>
          <w:b/>
          <w:i w:val="0"/>
          <w:color w:val="1F4E79"/>
          <w:sz w:val="24"/>
        </w:rPr>
        <w:t>الأمانة تجاه الدولة</w:t>
      </w:r>
    </w:p>
    <w:p>
      <w:pPr>
        <w:spacing w:after="32" w:line="235" w:lineRule="auto"/>
        <w:jc w:val="right"/>
        <w:bidi w:val="1"/>
      </w:pPr>
      <w:r>
        <w:rPr>
          <w:rFonts w:ascii="Arial" w:hAnsi="Arial" w:cs="Arial"/>
          <w:b w:val="0"/>
          <w:i w:val="0"/>
          <w:sz w:val="19"/>
        </w:rPr>
        <w:t>يعلّم العهد الجديد التلاميذ احترام السلطة المدنية والصلاة لأجل الحكام. لا يعني ذلك أن كل حكومة بارة أو أن السلطة البشرية تحل محل الله، بل أن المسيحي يكون عادة مواطناً مسالماً صادقاً يحترم القانون، مع بقاء ولائه الأول لله.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«فأطلب أول كل شيء أن تقام طلبات وصلوات وابتهالات وتشكرات لأجل جميع الناس، لأجل الملوك وجميع الذين هم في منصب، لكي نقضي حياة مطمئنة هادئة في كل تقوى ووقار.»</w:t>
            </w:r>
          </w:p>
          <w:p>
            <w:pPr>
              <w:spacing w:after="0"/>
              <w:jc w:val="right"/>
              <w:bidi w:val="1"/>
            </w:pPr>
            <w:r>
              <w:rPr>
                <w:rFonts w:ascii="Arial" w:hAnsi="Arial" w:cs="Arial"/>
                <w:b/>
                <w:i w:val="0"/>
                <w:color w:val="333333"/>
                <w:sz w:val="17"/>
              </w:rPr>
              <w:t>تيموثاوس الأولى 2:1-2  •  King James Version</w:t>
            </w:r>
          </w:p>
        </w:tc>
      </w:tr>
    </w:tbl>
    <w:p>
      <w:pPr>
        <w:spacing w:before="60" w:after="20"/>
        <w:jc w:val="right"/>
        <w:keepNext/>
        <w:bidi w:val="1"/>
      </w:pPr>
      <w:r>
        <w:rPr>
          <w:rFonts w:ascii="Arial" w:hAnsi="Arial" w:cs="Arial"/>
          <w:b/>
          <w:i w:val="0"/>
          <w:color w:val="1F4E79"/>
          <w:sz w:val="24"/>
        </w:rPr>
        <w:t>دفع ما هو مستحق</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«أعطوا إذاً ما لقيصر لقيصر وما لله لله.»</w:t>
            </w:r>
          </w:p>
          <w:p>
            <w:pPr>
              <w:spacing w:after="0"/>
              <w:jc w:val="right"/>
              <w:bidi w:val="1"/>
            </w:pPr>
            <w:r>
              <w:rPr>
                <w:rFonts w:ascii="Arial" w:hAnsi="Arial" w:cs="Arial"/>
                <w:b/>
                <w:i w:val="0"/>
                <w:color w:val="333333"/>
                <w:sz w:val="17"/>
              </w:rPr>
              <w:t>متى 22:21  •  King James Version</w:t>
            </w:r>
          </w:p>
        </w:tc>
      </w:tr>
    </w:tbl>
    <w:p>
      <w:pPr>
        <w:spacing w:after="32" w:line="235" w:lineRule="auto"/>
        <w:jc w:val="right"/>
        <w:bidi w:val="1"/>
      </w:pPr>
      <w:r>
        <w:rPr>
          <w:rFonts w:ascii="Arial" w:hAnsi="Arial" w:cs="Arial"/>
          <w:b w:val="0"/>
          <w:i w:val="0"/>
          <w:sz w:val="19"/>
        </w:rPr>
        <w:t>يشمل هذا دفع الضرائب والرسوم القانونية بصدق، والسجلات الصحيحة، ورفض الغش والرشوة. وفي الوقت نفسه حياتنا كلها لله. إذا طلب قانون بشري عصياناً مباشراً لله يبقى المبدأ: «ينبغي أن يطاع الله أكثر من الناس» (أعمال 5:29).</w:t>
      </w:r>
    </w:p>
    <w:p>
      <w:pPr>
        <w:spacing w:before="60" w:after="20"/>
        <w:jc w:val="right"/>
        <w:keepNext/>
        <w:bidi w:val="1"/>
      </w:pPr>
      <w:r>
        <w:rPr>
          <w:rFonts w:ascii="Arial" w:hAnsi="Arial" w:cs="Arial"/>
          <w:b/>
          <w:i w:val="0"/>
          <w:color w:val="1F4E79"/>
          <w:sz w:val="24"/>
        </w:rPr>
        <w:t>السمعة الحسنة مهمة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«فانتخبوا أيها الإخوة سبعة رجال منكم مشهوداً لهم ومملوئين من الروح القدس وحكمة فنقيمهم على هذه الحاجة.»</w:t>
            </w:r>
          </w:p>
          <w:p>
            <w:pPr>
              <w:spacing w:after="0"/>
              <w:jc w:val="right"/>
              <w:bidi w:val="1"/>
            </w:pPr>
            <w:r>
              <w:rPr>
                <w:rFonts w:ascii="Arial" w:hAnsi="Arial" w:cs="Arial"/>
                <w:b/>
                <w:i w:val="0"/>
                <w:color w:val="333333"/>
                <w:sz w:val="17"/>
              </w:rPr>
              <w:t>أعمال 6:3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0"/>
              <w:jc w:val="right"/>
              <w:bidi w:val="1"/>
            </w:pPr>
            <w:r>
              <w:rPr>
                <w:rFonts w:ascii="Arial" w:hAnsi="Arial" w:cs="Arial"/>
                <w:b/>
                <w:i w:val="0"/>
                <w:color w:val="1F4E79"/>
                <w:sz w:val="20"/>
              </w:rPr>
              <w:t>تصحيح للدرس القديم</w:t>
            </w:r>
          </w:p>
          <w:p>
            <w:pPr>
              <w:spacing w:after="0"/>
              <w:jc w:val="right"/>
              <w:bidi w:val="1"/>
            </w:pPr>
            <w:r>
              <w:rPr>
                <w:rFonts w:ascii="Arial" w:hAnsi="Arial" w:cs="Arial"/>
                <w:b w:val="0"/>
                <w:i w:val="0"/>
                <w:sz w:val="18"/>
              </w:rPr>
              <w:t>لا يسمي أعمال 6 الرجال السبعة «شمامسة» ولا يصفهم كحكام للإكليسيا. يقول النص إن الجماعة اختارت سبعة رجال ذوي سمعة صادقة لعمل محدد. ويظهر استفانوس وفيلبس لاحقاً كشاهدين قويين للإنجيل.</w:t>
            </w:r>
          </w:p>
        </w:tc>
      </w:tr>
    </w:tbl>
    <w:p>
      <w:pPr>
        <w:spacing w:after="32" w:line="235" w:lineRule="auto"/>
        <w:jc w:val="right"/>
        <w:bidi w:val="1"/>
      </w:pPr>
      <w:r>
        <w:rPr>
          <w:rFonts w:ascii="Arial" w:hAnsi="Arial" w:cs="Arial"/>
          <w:b w:val="0"/>
          <w:i w:val="0"/>
          <w:sz w:val="19"/>
        </w:rPr>
        <w:t>المبدأ باقٍ: حين تكون هناك أموال أو سجلات أو رعاية أو مسؤوليات أخرى فالشخصية مهمة. القدرة نافعة، لكن الجدير بالثقة ضروري.</w:t>
      </w:r>
    </w:p>
    <w:p>
      <w:pPr>
        <w:spacing w:before="60" w:after="20"/>
        <w:jc w:val="right"/>
        <w:keepNext/>
        <w:bidi w:val="1"/>
      </w:pPr>
      <w:r>
        <w:rPr>
          <w:rFonts w:ascii="Arial" w:hAnsi="Arial" w:cs="Arial"/>
          <w:b/>
          <w:i w:val="0"/>
          <w:color w:val="1F4E79"/>
          <w:sz w:val="24"/>
        </w:rPr>
        <w:t>المشورة الصادقة ليست دائماً المشورة الشعبية</w:t>
      </w:r>
    </w:p>
    <w:p>
      <w:pPr>
        <w:spacing w:before="60" w:after="20"/>
        <w:jc w:val="right"/>
        <w:keepNext/>
        <w:bidi w:val="1"/>
      </w:pPr>
      <w:r>
        <w:rPr>
          <w:rFonts w:ascii="Arial" w:hAnsi="Arial" w:cs="Arial"/>
          <w:b/>
          <w:i w:val="0"/>
          <w:color w:val="1F4E79"/>
          <w:sz w:val="24"/>
        </w:rPr>
        <w:t>كالب ويشوع</w:t>
      </w:r>
    </w:p>
    <w:p>
      <w:pPr>
        <w:spacing w:after="32" w:line="235" w:lineRule="auto"/>
        <w:jc w:val="right"/>
        <w:bidi w:val="1"/>
      </w:pPr>
      <w:r>
        <w:rPr>
          <w:rFonts w:ascii="Arial" w:hAnsi="Arial" w:cs="Arial"/>
          <w:b w:val="0"/>
          <w:i w:val="0"/>
          <w:sz w:val="19"/>
        </w:rPr>
        <w:t>تجسس اثنا عشر رجلاً أرض كنعان. عاد عشرة بتقرير مخيف أحبط إسرائيل. لم ينكر يشوع وكالب قوة السكان، لكنهما نظرا إلى الحقائق في ضوء وعد الله.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«إن سُر بنا الرب يدخلنا إلى هذه الأرض ويعطينا إياها ... إنما لا تتمردوا على الرب ولا تخافوا من شعب الأرض.»</w:t>
            </w:r>
          </w:p>
          <w:p>
            <w:pPr>
              <w:spacing w:after="0"/>
              <w:jc w:val="right"/>
              <w:bidi w:val="1"/>
            </w:pPr>
            <w:r>
              <w:rPr>
                <w:rFonts w:ascii="Arial" w:hAnsi="Arial" w:cs="Arial"/>
                <w:b/>
                <w:i w:val="0"/>
                <w:color w:val="333333"/>
                <w:sz w:val="17"/>
              </w:rPr>
              <w:t>العدد 14:8-9  •  King James Version</w:t>
            </w:r>
          </w:p>
        </w:tc>
      </w:tr>
    </w:tbl>
    <w:p>
      <w:pPr>
        <w:spacing w:after="32" w:line="235" w:lineRule="auto"/>
        <w:jc w:val="right"/>
        <w:bidi w:val="1"/>
      </w:pPr>
      <w:r>
        <w:rPr>
          <w:rFonts w:ascii="Arial" w:hAnsi="Arial" w:cs="Arial"/>
          <w:b w:val="0"/>
          <w:i w:val="0"/>
          <w:sz w:val="19"/>
        </w:rPr>
        <w:t>الدرس ليس أن الجواب المتفائل صادق دائماً. كانا موثوقين لأن نصيحتهما وافقت ما قاله الله. الحق لا يحدده رأي الأغلبية.</w:t>
      </w:r>
    </w:p>
    <w:p>
      <w:pPr>
        <w:spacing w:before="60" w:after="20"/>
        <w:jc w:val="right"/>
        <w:keepNext/>
        <w:bidi w:val="1"/>
      </w:pPr>
      <w:r>
        <w:rPr>
          <w:rFonts w:ascii="Arial" w:hAnsi="Arial" w:cs="Arial"/>
          <w:b/>
          <w:i w:val="0"/>
          <w:color w:val="1F4E79"/>
          <w:sz w:val="24"/>
        </w:rPr>
        <w:t>أيوب وأصدقاؤه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«لأنكم لم تقولوا فيَّ الصواب كعبدي أيوب.»</w:t>
            </w:r>
          </w:p>
          <w:p>
            <w:pPr>
              <w:spacing w:after="0"/>
              <w:jc w:val="right"/>
              <w:bidi w:val="1"/>
            </w:pPr>
            <w:r>
              <w:rPr>
                <w:rFonts w:ascii="Arial" w:hAnsi="Arial" w:cs="Arial"/>
                <w:b/>
                <w:i w:val="0"/>
                <w:color w:val="333333"/>
                <w:sz w:val="17"/>
              </w:rPr>
              <w:t>أيوب 42:7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0"/>
              <w:jc w:val="right"/>
              <w:bidi w:val="1"/>
            </w:pPr>
            <w:r>
              <w:rPr>
                <w:rFonts w:ascii="Arial" w:hAnsi="Arial" w:cs="Arial"/>
                <w:b/>
                <w:i w:val="0"/>
                <w:color w:val="1F4E79"/>
                <w:sz w:val="20"/>
              </w:rPr>
              <w:t>تصحيح مهم آخر</w:t>
            </w:r>
          </w:p>
          <w:p>
            <w:pPr>
              <w:spacing w:after="0"/>
              <w:jc w:val="right"/>
              <w:bidi w:val="1"/>
            </w:pPr>
            <w:r>
              <w:rPr>
                <w:rFonts w:ascii="Arial" w:hAnsi="Arial" w:cs="Arial"/>
                <w:b w:val="0"/>
                <w:i w:val="0"/>
                <w:sz w:val="18"/>
              </w:rPr>
              <w:t>وصف الدرس القديم كلام أصدقاء أيوب بأنه «غير أمين». لا يقول الكتاب إنهم كانوا يكذبون عمداً، بل إنهم تكلموا خطأ عن الله. قد تكون النصيحة صادقة النية ومع ذلك خاطئة. لذلك اختبر النصيحة بالكتاب والحقائق والحكم الحكيم، لا بثقة المتكلم فقط.</w:t>
            </w:r>
          </w:p>
        </w:tc>
      </w:tr>
    </w:tbl>
    <w:p>
      <w:pPr>
        <w:spacing w:before="60" w:after="20"/>
        <w:jc w:val="right"/>
        <w:keepNext/>
        <w:bidi w:val="1"/>
      </w:pPr>
      <w:r>
        <w:rPr>
          <w:rFonts w:ascii="Arial" w:hAnsi="Arial" w:cs="Arial"/>
          <w:b/>
          <w:i w:val="0"/>
          <w:color w:val="1F4E79"/>
          <w:sz w:val="24"/>
        </w:rPr>
        <w:t>الحق يحتاج تواضعاً</w:t>
      </w:r>
    </w:p>
    <w:p>
      <w:pPr>
        <w:spacing w:after="32" w:line="235" w:lineRule="auto"/>
        <w:jc w:val="right"/>
        <w:bidi w:val="1"/>
      </w:pPr>
      <w:r>
        <w:rPr>
          <w:rFonts w:ascii="Arial" w:hAnsi="Arial" w:cs="Arial"/>
          <w:b w:val="0"/>
          <w:i w:val="0"/>
          <w:sz w:val="19"/>
        </w:rPr>
        <w:t>التلميذ الأمين ينبغي أن يقدر أن يقول: لا أعرف؛ وأن يصحح خطأ؛ وأن يغير رأيه حين يبين الكتاب أو الدليل أنه مخطئ. ادعاء اليقين ليس إيماناً. التواضع والحق ينتميان معاً.</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5"/>
              </w:rPr>
              <w:t>عند تلقي المشورة</w:t>
            </w:r>
          </w:p>
        </w:tc>
        <w:tc>
          <w:tcPr>
            <w:tcW w:type="dxa" w:w="5032"/>
            <w:shd w:fill="D9EAF7"/>
          </w:tcPr>
          <w:p>
            <w:pPr>
              <w:jc w:val="center"/>
              <w:keepNext/>
              <w:bidi w:val="1"/>
            </w:pPr>
            <w:r>
              <w:rPr>
                <w:rFonts w:ascii="Arial" w:hAnsi="Arial" w:cs="Arial"/>
                <w:b/>
                <w:i w:val="0"/>
                <w:color w:val="1F4E79"/>
                <w:sz w:val="15"/>
              </w:rPr>
              <w:t>اسأل</w:t>
            </w:r>
          </w:p>
        </w:tc>
      </w:tr>
      <w:tr>
        <w:trPr>
          <w:cantSplit/>
        </w:trPr>
        <w:tc>
          <w:tcPr>
            <w:tcW w:type="dxa" w:w="5032"/>
          </w:tcPr>
          <w:p>
            <w:pPr>
              <w:spacing w:after="0"/>
              <w:jc w:val="right"/>
              <w:bidi w:val="1"/>
            </w:pPr>
            <w:r>
              <w:rPr>
                <w:rFonts w:ascii="Arial" w:hAnsi="Arial" w:cs="Arial"/>
                <w:b w:val="0"/>
                <w:i w:val="0"/>
                <w:sz w:val="15"/>
              </w:rPr>
              <w:t>كتابية</w:t>
            </w:r>
          </w:p>
        </w:tc>
        <w:tc>
          <w:tcPr>
            <w:tcW w:type="dxa" w:w="5032"/>
          </w:tcPr>
          <w:p>
            <w:pPr>
              <w:spacing w:after="0"/>
              <w:jc w:val="right"/>
              <w:bidi w:val="1"/>
            </w:pPr>
            <w:r>
              <w:rPr>
                <w:rFonts w:ascii="Arial" w:hAnsi="Arial" w:cs="Arial"/>
                <w:b w:val="0"/>
                <w:i w:val="0"/>
                <w:sz w:val="15"/>
              </w:rPr>
              <w:t>هل توافق تعليم الكتاب وشخصيته؟</w:t>
            </w:r>
          </w:p>
        </w:tc>
      </w:tr>
      <w:tr>
        <w:trPr>
          <w:cantSplit/>
        </w:trPr>
        <w:tc>
          <w:tcPr>
            <w:tcW w:type="dxa" w:w="5032"/>
          </w:tcPr>
          <w:p>
            <w:pPr>
              <w:spacing w:after="0"/>
              <w:jc w:val="right"/>
              <w:bidi w:val="1"/>
            </w:pPr>
            <w:r>
              <w:rPr>
                <w:rFonts w:ascii="Arial" w:hAnsi="Arial" w:cs="Arial"/>
                <w:b w:val="0"/>
                <w:i w:val="0"/>
                <w:sz w:val="15"/>
              </w:rPr>
              <w:t>واقعية</w:t>
            </w:r>
          </w:p>
        </w:tc>
        <w:tc>
          <w:tcPr>
            <w:tcW w:type="dxa" w:w="5032"/>
          </w:tcPr>
          <w:p>
            <w:pPr>
              <w:spacing w:after="0"/>
              <w:jc w:val="right"/>
              <w:bidi w:val="1"/>
            </w:pPr>
            <w:r>
              <w:rPr>
                <w:rFonts w:ascii="Arial" w:hAnsi="Arial" w:cs="Arial"/>
                <w:b w:val="0"/>
                <w:i w:val="0"/>
                <w:sz w:val="15"/>
              </w:rPr>
              <w:t>هل الحقائق صحيحة أم تُقدم افتراضات كحقائق؟</w:t>
            </w:r>
          </w:p>
        </w:tc>
      </w:tr>
      <w:tr>
        <w:trPr>
          <w:cantSplit/>
        </w:trPr>
        <w:tc>
          <w:tcPr>
            <w:tcW w:type="dxa" w:w="5032"/>
          </w:tcPr>
          <w:p>
            <w:pPr>
              <w:spacing w:after="0"/>
              <w:jc w:val="right"/>
              <w:bidi w:val="1"/>
            </w:pPr>
            <w:r>
              <w:rPr>
                <w:rFonts w:ascii="Arial" w:hAnsi="Arial" w:cs="Arial"/>
                <w:b w:val="0"/>
                <w:i w:val="0"/>
                <w:sz w:val="15"/>
              </w:rPr>
              <w:t>الدوافع</w:t>
            </w:r>
          </w:p>
        </w:tc>
        <w:tc>
          <w:tcPr>
            <w:tcW w:type="dxa" w:w="5032"/>
          </w:tcPr>
          <w:p>
            <w:pPr>
              <w:spacing w:after="0"/>
              <w:jc w:val="right"/>
              <w:bidi w:val="1"/>
            </w:pPr>
            <w:r>
              <w:rPr>
                <w:rFonts w:ascii="Arial" w:hAnsi="Arial" w:cs="Arial"/>
                <w:b w:val="0"/>
                <w:i w:val="0"/>
                <w:sz w:val="15"/>
              </w:rPr>
              <w:t>هل للمستشار مصلحة في دفعك إلى هذا القرار؟</w:t>
            </w:r>
          </w:p>
        </w:tc>
      </w:tr>
      <w:tr>
        <w:trPr>
          <w:cantSplit/>
        </w:trPr>
        <w:tc>
          <w:tcPr>
            <w:tcW w:type="dxa" w:w="5032"/>
          </w:tcPr>
          <w:p>
            <w:pPr>
              <w:spacing w:after="0"/>
              <w:jc w:val="right"/>
              <w:bidi w:val="1"/>
            </w:pPr>
            <w:r>
              <w:rPr>
                <w:rFonts w:ascii="Arial" w:hAnsi="Arial" w:cs="Arial"/>
                <w:b w:val="0"/>
                <w:i w:val="0"/>
                <w:sz w:val="15"/>
              </w:rPr>
              <w:t>الشخصية</w:t>
            </w:r>
          </w:p>
        </w:tc>
        <w:tc>
          <w:tcPr>
            <w:tcW w:type="dxa" w:w="5032"/>
          </w:tcPr>
          <w:p>
            <w:pPr>
              <w:spacing w:after="0"/>
              <w:jc w:val="right"/>
              <w:bidi w:val="1"/>
            </w:pPr>
            <w:r>
              <w:rPr>
                <w:rFonts w:ascii="Arial" w:hAnsi="Arial" w:cs="Arial"/>
                <w:b w:val="0"/>
                <w:i w:val="0"/>
                <w:sz w:val="15"/>
              </w:rPr>
              <w:t>هل تظهر حياته الأمانة والحكمة وضبط النفس؟</w:t>
            </w:r>
          </w:p>
        </w:tc>
      </w:tr>
      <w:tr>
        <w:trPr>
          <w:cantSplit/>
        </w:trPr>
        <w:tc>
          <w:tcPr>
            <w:tcW w:type="dxa" w:w="5032"/>
          </w:tcPr>
          <w:p>
            <w:pPr>
              <w:spacing w:after="0"/>
              <w:jc w:val="right"/>
              <w:bidi w:val="1"/>
            </w:pPr>
            <w:r>
              <w:rPr>
                <w:rFonts w:ascii="Arial" w:hAnsi="Arial" w:cs="Arial"/>
                <w:b w:val="0"/>
                <w:i w:val="0"/>
                <w:sz w:val="15"/>
              </w:rPr>
              <w:t>التواضع</w:t>
            </w:r>
          </w:p>
        </w:tc>
        <w:tc>
          <w:tcPr>
            <w:tcW w:type="dxa" w:w="5032"/>
          </w:tcPr>
          <w:p>
            <w:pPr>
              <w:spacing w:after="0"/>
              <w:jc w:val="right"/>
              <w:bidi w:val="1"/>
            </w:pPr>
            <w:r>
              <w:rPr>
                <w:rFonts w:ascii="Arial" w:hAnsi="Arial" w:cs="Arial"/>
                <w:b w:val="0"/>
                <w:i w:val="0"/>
                <w:sz w:val="15"/>
              </w:rPr>
              <w:t>هل توجد مساحة للأسئلة والخلاف وإعادة النظر؟</w:t>
            </w:r>
          </w:p>
        </w:tc>
      </w:tr>
    </w:tbl>
    <w:p>
      <w:pPr>
        <w:spacing w:before="60" w:after="20"/>
        <w:jc w:val="right"/>
        <w:keepNext/>
        <w:bidi w:val="1"/>
      </w:pPr>
      <w:r>
        <w:rPr>
          <w:rFonts w:ascii="Arial" w:hAnsi="Arial" w:cs="Arial"/>
          <w:b/>
          <w:i w:val="0"/>
          <w:color w:val="1F4E79"/>
          <w:sz w:val="24"/>
        </w:rPr>
        <w:t>الأمانة في المال والعمل والمسؤولية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«قد أخبرك أيها الإنسان ما هو صالح، وماذا يطلبه منك الرب إلا أن تصنع الحق وتحب الرحمة وتسلك متواضعاً مع إلهك.»</w:t>
            </w:r>
          </w:p>
          <w:p>
            <w:pPr>
              <w:spacing w:after="0"/>
              <w:jc w:val="right"/>
              <w:bidi w:val="1"/>
            </w:pPr>
            <w:r>
              <w:rPr>
                <w:rFonts w:ascii="Arial" w:hAnsi="Arial" w:cs="Arial"/>
                <w:b/>
                <w:i w:val="0"/>
                <w:color w:val="333333"/>
                <w:sz w:val="17"/>
              </w:rPr>
              <w:t>ميخا 6:8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«أأزكي موازين الشر وكيس معايير الغش؟»</w:t>
            </w:r>
          </w:p>
          <w:p>
            <w:pPr>
              <w:spacing w:after="0"/>
              <w:jc w:val="right"/>
              <w:bidi w:val="1"/>
            </w:pPr>
            <w:r>
              <w:rPr>
                <w:rFonts w:ascii="Arial" w:hAnsi="Arial" w:cs="Arial"/>
                <w:b/>
                <w:i w:val="0"/>
                <w:color w:val="333333"/>
                <w:sz w:val="17"/>
              </w:rPr>
              <w:t>ميخا 6:11  •  King James Version</w:t>
            </w:r>
          </w:p>
        </w:tc>
      </w:tr>
    </w:tbl>
    <w:p>
      <w:pPr>
        <w:spacing w:after="32" w:line="235" w:lineRule="auto"/>
        <w:jc w:val="right"/>
        <w:bidi w:val="1"/>
      </w:pPr>
      <w:r>
        <w:rPr>
          <w:rFonts w:ascii="Arial" w:hAnsi="Arial" w:cs="Arial"/>
          <w:b w:val="0"/>
          <w:i w:val="0"/>
          <w:sz w:val="19"/>
        </w:rPr>
        <w:t>تفاصيل الميزان والمكيال تعود إلى سوق قديم، لكن المبدأ حديث تماماً: لا تأخذ ما لم تكسبه، ولا تخفِ ما ينبغي التصريح به، ولا تتلاعب بمعاملة لنفع غير عادل.</w:t>
      </w:r>
    </w:p>
    <w:p>
      <w:pPr>
        <w:spacing w:before="60" w:after="20"/>
        <w:jc w:val="right"/>
        <w:keepNext/>
        <w:bidi w:val="1"/>
      </w:pPr>
      <w:r>
        <w:rPr>
          <w:rFonts w:ascii="Arial" w:hAnsi="Arial" w:cs="Arial"/>
          <w:b/>
          <w:i w:val="0"/>
          <w:color w:val="1F4E79"/>
          <w:sz w:val="24"/>
        </w:rPr>
        <w:t>درس حنانيا وسفيرة</w:t>
      </w:r>
    </w:p>
    <w:p>
      <w:pPr>
        <w:spacing w:after="32" w:line="235" w:lineRule="auto"/>
        <w:jc w:val="right"/>
        <w:bidi w:val="1"/>
      </w:pPr>
      <w:r>
        <w:rPr>
          <w:rFonts w:ascii="Arial" w:hAnsi="Arial" w:cs="Arial"/>
          <w:b w:val="0"/>
          <w:i w:val="0"/>
          <w:sz w:val="19"/>
        </w:rPr>
        <w:t>يعطي أعمال 5 تحذيراً شديداً من الرياء الديني. باع حنانيا وسفيرة ملكاً واحتفظا بجزء من المال. لم يكن الاحتفاظ بجزء هو الخطية؛ يقول بطرس إن الملك وثمنه كانا تحت تصرفهما. الخطية كانت خلق انطباع كاذب والكذب عما قدماه.</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«أليس وهو باق كان يبقى لك، ولما بيع ألم يكن في سلطانك؟ ... أنت لم تكذب على الناس بل على الله.»</w:t>
            </w:r>
          </w:p>
          <w:p>
            <w:pPr>
              <w:spacing w:after="0"/>
              <w:jc w:val="right"/>
              <w:bidi w:val="1"/>
            </w:pPr>
            <w:r>
              <w:rPr>
                <w:rFonts w:ascii="Arial" w:hAnsi="Arial" w:cs="Arial"/>
                <w:b/>
                <w:i w:val="0"/>
                <w:color w:val="333333"/>
                <w:sz w:val="17"/>
              </w:rPr>
              <w:t>أعمال 5:4  •  King James Version</w:t>
            </w:r>
          </w:p>
        </w:tc>
      </w:tr>
    </w:tbl>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0"/>
              <w:jc w:val="right"/>
              <w:bidi w:val="1"/>
            </w:pPr>
            <w:r>
              <w:rPr>
                <w:rFonts w:ascii="Arial" w:hAnsi="Arial" w:cs="Arial"/>
                <w:b/>
                <w:i w:val="0"/>
                <w:color w:val="1F4E79"/>
                <w:sz w:val="20"/>
              </w:rPr>
              <w:t>ما يقوله أعمال 5 وما لا يقوله</w:t>
            </w:r>
          </w:p>
          <w:p>
            <w:pPr>
              <w:spacing w:after="0"/>
              <w:jc w:val="right"/>
              <w:bidi w:val="1"/>
            </w:pPr>
            <w:r>
              <w:rPr>
                <w:rFonts w:ascii="Arial" w:hAnsi="Arial" w:cs="Arial"/>
                <w:b w:val="0"/>
                <w:i w:val="0"/>
                <w:sz w:val="18"/>
              </w:rPr>
              <w:t>يسجل النص موت حنانيا وسفيرة فجأة بعد كشف خداعهما. لا يقول إن بطرس قتلهما شخصياً، وليست هذه الحالة الوحيدة في العهد الجديد التي تنتج فيها دينونة إلهية موتاً. الدرس المركزي هو خطورة الرياء المتعمد أمام الله.</w:t>
            </w:r>
          </w:p>
        </w:tc>
      </w:tr>
    </w:tbl>
    <w:p>
      <w:pPr>
        <w:spacing w:before="60" w:after="20"/>
        <w:jc w:val="right"/>
        <w:keepNext/>
        <w:bidi w:val="1"/>
      </w:pPr>
      <w:r>
        <w:rPr>
          <w:rFonts w:ascii="Arial" w:hAnsi="Arial" w:cs="Arial"/>
          <w:b/>
          <w:i w:val="0"/>
          <w:color w:val="1F4E79"/>
          <w:sz w:val="24"/>
        </w:rPr>
        <w:t>النزاهة في الحياة العادية</w:t>
      </w:r>
    </w:p>
    <w:tbl>
      <w:tblPr>
        <w:tblStyle w:val="TableGrid"/>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keepNext/>
              <w:bidi w:val="1"/>
            </w:pPr>
            <w:r>
              <w:rPr>
                <w:rFonts w:ascii="Arial" w:hAnsi="Arial" w:cs="Arial"/>
                <w:b/>
                <w:i w:val="0"/>
                <w:color w:val="1F4E79"/>
                <w:sz w:val="14"/>
              </w:rPr>
              <w:t>مجال الحياة</w:t>
            </w:r>
          </w:p>
        </w:tc>
        <w:tc>
          <w:tcPr>
            <w:tcW w:type="dxa" w:w="5032"/>
            <w:shd w:fill="D9EAF7"/>
          </w:tcPr>
          <w:p>
            <w:pPr>
              <w:jc w:val="center"/>
              <w:keepNext/>
              <w:bidi w:val="1"/>
            </w:pPr>
            <w:r>
              <w:rPr>
                <w:rFonts w:ascii="Arial" w:hAnsi="Arial" w:cs="Arial"/>
                <w:b/>
                <w:i w:val="0"/>
                <w:color w:val="1F4E79"/>
                <w:sz w:val="14"/>
              </w:rPr>
              <w:t>قد تعني الأمانة</w:t>
            </w:r>
          </w:p>
        </w:tc>
      </w:tr>
      <w:tr>
        <w:trPr>
          <w:cantSplit/>
        </w:trPr>
        <w:tc>
          <w:tcPr>
            <w:tcW w:type="dxa" w:w="5032"/>
          </w:tcPr>
          <w:p>
            <w:pPr>
              <w:spacing w:after="0"/>
              <w:jc w:val="right"/>
              <w:bidi w:val="1"/>
            </w:pPr>
            <w:r>
              <w:rPr>
                <w:rFonts w:ascii="Arial" w:hAnsi="Arial" w:cs="Arial"/>
                <w:b w:val="0"/>
                <w:i w:val="0"/>
                <w:sz w:val="14"/>
              </w:rPr>
              <w:t>العمل</w:t>
            </w:r>
          </w:p>
        </w:tc>
        <w:tc>
          <w:tcPr>
            <w:tcW w:type="dxa" w:w="5032"/>
          </w:tcPr>
          <w:p>
            <w:pPr>
              <w:spacing w:after="0"/>
              <w:jc w:val="right"/>
              <w:bidi w:val="1"/>
            </w:pPr>
            <w:r>
              <w:rPr>
                <w:rFonts w:ascii="Arial" w:hAnsi="Arial" w:cs="Arial"/>
                <w:b w:val="0"/>
                <w:i w:val="0"/>
                <w:sz w:val="14"/>
              </w:rPr>
              <w:t>أداء العمل المدفوع أجره، وتسجيل الوقت والمصروفات بصدق، وعدم أخذ ملك صاحب العمل.</w:t>
            </w:r>
          </w:p>
        </w:tc>
      </w:tr>
      <w:tr>
        <w:trPr>
          <w:cantSplit/>
        </w:trPr>
        <w:tc>
          <w:tcPr>
            <w:tcW w:type="dxa" w:w="5032"/>
          </w:tcPr>
          <w:p>
            <w:pPr>
              <w:spacing w:after="0"/>
              <w:jc w:val="right"/>
              <w:bidi w:val="1"/>
            </w:pPr>
            <w:r>
              <w:rPr>
                <w:rFonts w:ascii="Arial" w:hAnsi="Arial" w:cs="Arial"/>
                <w:b w:val="0"/>
                <w:i w:val="0"/>
                <w:sz w:val="14"/>
              </w:rPr>
              <w:t>التجارة</w:t>
            </w:r>
          </w:p>
        </w:tc>
        <w:tc>
          <w:tcPr>
            <w:tcW w:type="dxa" w:w="5032"/>
          </w:tcPr>
          <w:p>
            <w:pPr>
              <w:spacing w:after="0"/>
              <w:jc w:val="right"/>
              <w:bidi w:val="1"/>
            </w:pPr>
            <w:r>
              <w:rPr>
                <w:rFonts w:ascii="Arial" w:hAnsi="Arial" w:cs="Arial"/>
                <w:b w:val="0"/>
                <w:i w:val="0"/>
                <w:sz w:val="14"/>
              </w:rPr>
              <w:t>موازين وفواتير وأوصاف دقيقة، بلا خداع خفي أو رشوة.</w:t>
            </w:r>
          </w:p>
        </w:tc>
      </w:tr>
      <w:tr>
        <w:trPr>
          <w:cantSplit/>
        </w:trPr>
        <w:tc>
          <w:tcPr>
            <w:tcW w:type="dxa" w:w="5032"/>
          </w:tcPr>
          <w:p>
            <w:pPr>
              <w:spacing w:after="0"/>
              <w:jc w:val="right"/>
              <w:bidi w:val="1"/>
            </w:pPr>
            <w:r>
              <w:rPr>
                <w:rFonts w:ascii="Arial" w:hAnsi="Arial" w:cs="Arial"/>
                <w:b w:val="0"/>
                <w:i w:val="0"/>
                <w:sz w:val="14"/>
              </w:rPr>
              <w:t>المال</w:t>
            </w:r>
          </w:p>
        </w:tc>
        <w:tc>
          <w:tcPr>
            <w:tcW w:type="dxa" w:w="5032"/>
          </w:tcPr>
          <w:p>
            <w:pPr>
              <w:spacing w:after="0"/>
              <w:jc w:val="right"/>
              <w:bidi w:val="1"/>
            </w:pPr>
            <w:r>
              <w:rPr>
                <w:rFonts w:ascii="Arial" w:hAnsi="Arial" w:cs="Arial"/>
                <w:b w:val="0"/>
                <w:i w:val="0"/>
                <w:sz w:val="14"/>
              </w:rPr>
              <w:t>إدارة أموال الإكليسيا أو الأسرة أو الصدقات بشفافية وسجلات واضحة.</w:t>
            </w:r>
          </w:p>
        </w:tc>
      </w:tr>
      <w:tr>
        <w:trPr>
          <w:cantSplit/>
        </w:trPr>
        <w:tc>
          <w:tcPr>
            <w:tcW w:type="dxa" w:w="5032"/>
          </w:tcPr>
          <w:p>
            <w:pPr>
              <w:spacing w:after="0"/>
              <w:jc w:val="right"/>
              <w:bidi w:val="1"/>
            </w:pPr>
            <w:r>
              <w:rPr>
                <w:rFonts w:ascii="Arial" w:hAnsi="Arial" w:cs="Arial"/>
                <w:b w:val="0"/>
                <w:i w:val="0"/>
                <w:sz w:val="14"/>
              </w:rPr>
              <w:t>الكلام</w:t>
            </w:r>
          </w:p>
        </w:tc>
        <w:tc>
          <w:tcPr>
            <w:tcW w:type="dxa" w:w="5032"/>
          </w:tcPr>
          <w:p>
            <w:pPr>
              <w:spacing w:after="0"/>
              <w:jc w:val="right"/>
              <w:bidi w:val="1"/>
            </w:pPr>
            <w:r>
              <w:rPr>
                <w:rFonts w:ascii="Arial" w:hAnsi="Arial" w:cs="Arial"/>
                <w:b w:val="0"/>
                <w:i w:val="0"/>
                <w:sz w:val="14"/>
              </w:rPr>
              <w:t>رفض الأكاذيب وأنصاف الحقائق المضللة والوعود الكاذبة وتصحيح المعلومات الخاطئة التي نقلناها.</w:t>
            </w:r>
          </w:p>
        </w:tc>
      </w:tr>
      <w:tr>
        <w:trPr>
          <w:cantSplit/>
        </w:trPr>
        <w:tc>
          <w:tcPr>
            <w:tcW w:type="dxa" w:w="5032"/>
          </w:tcPr>
          <w:p>
            <w:pPr>
              <w:spacing w:after="0"/>
              <w:jc w:val="right"/>
              <w:bidi w:val="1"/>
            </w:pPr>
            <w:r>
              <w:rPr>
                <w:rFonts w:ascii="Arial" w:hAnsi="Arial" w:cs="Arial"/>
                <w:b w:val="0"/>
                <w:i w:val="0"/>
                <w:sz w:val="14"/>
              </w:rPr>
              <w:t>الحياة على الإنترنت</w:t>
            </w:r>
          </w:p>
        </w:tc>
        <w:tc>
          <w:tcPr>
            <w:tcW w:type="dxa" w:w="5032"/>
          </w:tcPr>
          <w:p>
            <w:pPr>
              <w:spacing w:after="0"/>
              <w:jc w:val="right"/>
              <w:bidi w:val="1"/>
            </w:pPr>
            <w:r>
              <w:rPr>
                <w:rFonts w:ascii="Arial" w:hAnsi="Arial" w:cs="Arial"/>
                <w:b w:val="0"/>
                <w:i w:val="0"/>
                <w:sz w:val="14"/>
              </w:rPr>
              <w:t>عدم استخدام التخفي للخداع أو انتحال الهوية أو السرقة الأدبية أو تشويه الآخرين.</w:t>
            </w:r>
          </w:p>
        </w:tc>
      </w:tr>
      <w:tr>
        <w:trPr>
          <w:cantSplit/>
        </w:trPr>
        <w:tc>
          <w:tcPr>
            <w:tcW w:type="dxa" w:w="5032"/>
          </w:tcPr>
          <w:p>
            <w:pPr>
              <w:spacing w:after="0"/>
              <w:jc w:val="right"/>
              <w:bidi w:val="1"/>
            </w:pPr>
            <w:r>
              <w:rPr>
                <w:rFonts w:ascii="Arial" w:hAnsi="Arial" w:cs="Arial"/>
                <w:b w:val="0"/>
                <w:i w:val="0"/>
                <w:sz w:val="14"/>
              </w:rPr>
              <w:t>المسؤولية</w:t>
            </w:r>
          </w:p>
        </w:tc>
        <w:tc>
          <w:tcPr>
            <w:tcW w:type="dxa" w:w="5032"/>
          </w:tcPr>
          <w:p>
            <w:pPr>
              <w:spacing w:after="0"/>
              <w:jc w:val="right"/>
              <w:bidi w:val="1"/>
            </w:pPr>
            <w:r>
              <w:rPr>
                <w:rFonts w:ascii="Arial" w:hAnsi="Arial" w:cs="Arial"/>
                <w:b w:val="0"/>
                <w:i w:val="0"/>
                <w:sz w:val="14"/>
              </w:rPr>
              <w:t>الاعتراف بالأخطاء مبكراً بدلاً من إخفائها حتى يكتشفها غيرنا.</w:t>
            </w:r>
          </w:p>
        </w:tc>
      </w:tr>
    </w:tbl>
    <w:p>
      <w:pPr>
        <w:spacing w:before="60" w:after="20"/>
        <w:jc w:val="right"/>
        <w:keepNext/>
        <w:bidi w:val="1"/>
      </w:pPr>
      <w:r>
        <w:rPr>
          <w:rFonts w:ascii="Arial" w:hAnsi="Arial" w:cs="Arial"/>
          <w:b/>
          <w:i w:val="0"/>
          <w:color w:val="1F4E79"/>
          <w:sz w:val="24"/>
        </w:rPr>
        <w:t>يسوع — حق بلا غش</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«الذي لم يفعل خطية ولا وُجد في فمه مكر.»</w:t>
            </w:r>
          </w:p>
          <w:p>
            <w:pPr>
              <w:spacing w:after="0"/>
              <w:jc w:val="right"/>
              <w:bidi w:val="1"/>
            </w:pPr>
            <w:r>
              <w:rPr>
                <w:rFonts w:ascii="Arial" w:hAnsi="Arial" w:cs="Arial"/>
                <w:b/>
                <w:i w:val="0"/>
                <w:color w:val="333333"/>
                <w:sz w:val="17"/>
              </w:rPr>
              <w:t>بطرس الأولى 2:22  •  King James Version</w:t>
            </w:r>
          </w:p>
        </w:tc>
      </w:tr>
    </w:tbl>
    <w:p>
      <w:pPr>
        <w:spacing w:after="32" w:line="235" w:lineRule="auto"/>
        <w:jc w:val="right"/>
        <w:bidi w:val="1"/>
      </w:pPr>
      <w:r>
        <w:rPr>
          <w:rFonts w:ascii="Arial" w:hAnsi="Arial" w:cs="Arial"/>
          <w:b w:val="0"/>
          <w:i w:val="0"/>
          <w:sz w:val="19"/>
        </w:rPr>
        <w:t>يسوع مثالنا الكامل. لم يتلاعب بالناس لنفع شخصي ولم يستخدم المظهر الديني لإخفاء دوافع أنانية. والحياة المشكلة به لا تكتفي بعدم السرقة والكذب، بل تصير كريمة وعادلة وموثوقة وشفافة.</w:t>
      </w:r>
    </w:p>
    <w:p>
      <w:pPr>
        <w:spacing w:before="60" w:after="20"/>
        <w:jc w:val="right"/>
        <w:keepNext/>
        <w:bidi w:val="1"/>
      </w:pPr>
      <w:r>
        <w:rPr>
          <w:rFonts w:ascii="Arial" w:hAnsi="Arial" w:cs="Arial"/>
          <w:b/>
          <w:i w:val="0"/>
          <w:color w:val="1F4E79"/>
          <w:sz w:val="24"/>
        </w:rPr>
        <w:t>العطاء بأمانة</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«أعطوا تُعطوا. كيلاً جيداً ملبداً مهزوزاً فائضاً يعطون في أحضانكم. لأنه بنفس الكيل الذي به تكيلون يكال لكم.»</w:t>
            </w:r>
          </w:p>
          <w:p>
            <w:pPr>
              <w:spacing w:after="0"/>
              <w:jc w:val="right"/>
              <w:bidi w:val="1"/>
            </w:pPr>
            <w:r>
              <w:rPr>
                <w:rFonts w:ascii="Arial" w:hAnsi="Arial" w:cs="Arial"/>
                <w:b/>
                <w:i w:val="0"/>
                <w:color w:val="333333"/>
                <w:sz w:val="17"/>
              </w:rPr>
              <w:t>لوقا 6:38  •  King James Version</w:t>
            </w:r>
          </w:p>
        </w:tc>
      </w:tr>
    </w:tbl>
    <w:p>
      <w:pPr>
        <w:spacing w:after="32" w:line="235" w:lineRule="auto"/>
        <w:jc w:val="right"/>
        <w:bidi w:val="1"/>
      </w:pPr>
      <w:r>
        <w:rPr>
          <w:rFonts w:ascii="Arial" w:hAnsi="Arial" w:cs="Arial"/>
          <w:b w:val="0"/>
          <w:i w:val="0"/>
          <w:sz w:val="19"/>
        </w:rPr>
        <w:t>ليس هذا وعداً بأن العطاء يجعلنا أغنياء. في السياق يعلّم يسوع حياة سخية رحيمة.</w:t>
      </w:r>
    </w:p>
    <w:tbl>
      <w:tblPr>
        <w:tblW w:type="auto" w:w="0"/>
        <w:jc w:val="center"/>
        <w:tblLook w:firstColumn="1" w:firstRow="1" w:lastColumn="0" w:lastRow="0" w:noHBand="0" w:noVBand="1" w:val="04A0"/>
      </w:tblPr>
      <w:tblGrid>
        <w:gridCol w:w="10065"/>
      </w:tblGrid>
      <w:tr>
        <w:trPr>
          <w:cantSplit/>
        </w:trPr>
        <w:tc>
          <w:tcPr>
            <w:tcW w:type="dxa" w:w="10065"/>
            <w:shd w:fill="D9EAF7"/>
          </w:tcPr>
          <w:p>
            <w:pPr>
              <w:spacing w:after="10"/>
              <w:jc w:val="right"/>
              <w:bidi w:val="1"/>
            </w:pPr>
            <w:r>
              <w:rPr>
                <w:rFonts w:ascii="Arial" w:hAnsi="Arial" w:cs="Arial"/>
                <w:b/>
                <w:i w:val="0"/>
                <w:color w:val="1F4E79"/>
                <w:sz w:val="20"/>
              </w:rPr>
              <w:t>اختبار بسيط للنزاهة</w:t>
            </w:r>
          </w:p>
          <w:p>
            <w:pPr>
              <w:spacing w:after="0"/>
              <w:jc w:val="right"/>
              <w:bidi w:val="1"/>
            </w:pPr>
            <w:r>
              <w:rPr>
                <w:rFonts w:ascii="Arial" w:hAnsi="Arial" w:cs="Arial"/>
                <w:b w:val="0"/>
                <w:i w:val="0"/>
                <w:sz w:val="18"/>
              </w:rPr>
              <w:t>قبل أن تعمل اسأل أربعة أسئلة: هل هو حق؟ هل هو عادل؟ هل أقبل أن يعرف الشخص المتأثر ما أفعله؟ وهل أستطيع أن أحضر هذا العمل بصدق أمام الله في الصلاة؟</w:t>
            </w:r>
          </w:p>
        </w:tc>
      </w:tr>
    </w:tbl>
    <w:p>
      <w:pPr>
        <w:spacing w:before="60" w:after="20"/>
        <w:jc w:val="right"/>
        <w:keepNext/>
        <w:bidi w:val="1"/>
      </w:pPr>
      <w:r>
        <w:rPr>
          <w:rFonts w:ascii="Arial" w:hAnsi="Arial" w:cs="Arial"/>
          <w:b/>
          <w:i w:val="0"/>
          <w:color w:val="1F4E79"/>
          <w:sz w:val="24"/>
        </w:rPr>
        <w:t>الخلاصة</w:t>
      </w:r>
    </w:p>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1</w:t>
            </w:r>
          </w:p>
        </w:tc>
        <w:tc>
          <w:tcPr>
            <w:tcW w:type="dxa" w:w="5032"/>
          </w:tcPr>
          <w:p>
            <w:pPr>
              <w:jc w:val="right"/>
              <w:bidi w:val="1"/>
            </w:pPr>
            <w:r>
              <w:rPr>
                <w:rFonts w:ascii="Arial" w:hAnsi="Arial" w:cs="Arial"/>
                <w:b/>
                <w:i w:val="0"/>
                <w:color w:val="1F4E79"/>
                <w:sz w:val="18"/>
              </w:rPr>
              <w:t>الأمانة هي الصدق والنزاهة.</w:t>
            </w:r>
          </w:p>
          <w:p>
            <w:pPr>
              <w:spacing w:after="0"/>
              <w:jc w:val="right"/>
              <w:bidi w:val="1"/>
            </w:pPr>
            <w:r>
              <w:rPr>
                <w:rFonts w:ascii="Arial" w:hAnsi="Arial" w:cs="Arial"/>
                <w:b w:val="0"/>
                <w:i w:val="0"/>
                <w:sz w:val="18"/>
              </w:rPr>
              <w:t>ليست مجرد حفظ خارجي للقواعد.</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2</w:t>
            </w:r>
          </w:p>
        </w:tc>
        <w:tc>
          <w:tcPr>
            <w:tcW w:type="dxa" w:w="5032"/>
          </w:tcPr>
          <w:p>
            <w:pPr>
              <w:jc w:val="right"/>
              <w:bidi w:val="1"/>
            </w:pPr>
            <w:r>
              <w:rPr>
                <w:rFonts w:ascii="Arial" w:hAnsi="Arial" w:cs="Arial"/>
                <w:b/>
                <w:i w:val="0"/>
                <w:color w:val="1F4E79"/>
                <w:sz w:val="18"/>
              </w:rPr>
              <w:t>ينبغي أن يوافق سلوكنا الإنجيل الذي نكرز به.</w:t>
            </w:r>
          </w:p>
          <w:p>
            <w:pPr>
              <w:spacing w:after="0"/>
              <w:jc w:val="right"/>
              <w:bidi w:val="1"/>
            </w:pPr>
            <w:r>
              <w:rPr>
                <w:rFonts w:ascii="Arial" w:hAnsi="Arial" w:cs="Arial"/>
                <w:b w:val="0"/>
                <w:i w:val="0"/>
                <w:sz w:val="18"/>
              </w:rPr>
              <w:t>نعيش في النور لا في الخداع.</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3</w:t>
            </w:r>
          </w:p>
        </w:tc>
        <w:tc>
          <w:tcPr>
            <w:tcW w:type="dxa" w:w="5032"/>
          </w:tcPr>
          <w:p>
            <w:pPr>
              <w:jc w:val="right"/>
              <w:bidi w:val="1"/>
            </w:pPr>
            <w:r>
              <w:rPr>
                <w:rFonts w:ascii="Arial" w:hAnsi="Arial" w:cs="Arial"/>
                <w:b/>
                <w:i w:val="0"/>
                <w:color w:val="1F4E79"/>
                <w:sz w:val="18"/>
              </w:rPr>
              <w:t>كن أميناً في الضرائب والسجلات والعمل والمال والمسؤوليات.</w:t>
            </w:r>
          </w:p>
          <w:p>
            <w:pPr>
              <w:spacing w:after="0"/>
              <w:jc w:val="right"/>
              <w:bidi w:val="1"/>
            </w:pPr>
            <w:r>
              <w:rPr>
                <w:rFonts w:ascii="Arial" w:hAnsi="Arial" w:cs="Arial"/>
                <w:b w:val="0"/>
                <w:i w:val="0"/>
                <w:sz w:val="18"/>
              </w:rPr>
              <w:t>ما يُعهد إلينا ينبغي أن يُدار بشفافية.</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4</w:t>
            </w:r>
          </w:p>
        </w:tc>
        <w:tc>
          <w:tcPr>
            <w:tcW w:type="dxa" w:w="5032"/>
          </w:tcPr>
          <w:p>
            <w:pPr>
              <w:jc w:val="right"/>
              <w:bidi w:val="1"/>
            </w:pPr>
            <w:r>
              <w:rPr>
                <w:rFonts w:ascii="Arial" w:hAnsi="Arial" w:cs="Arial"/>
                <w:b/>
                <w:i w:val="0"/>
                <w:color w:val="1F4E79"/>
                <w:sz w:val="18"/>
              </w:rPr>
              <w:t>اختبر المشورة بالكتاب والحقائق.</w:t>
            </w:r>
          </w:p>
          <w:p>
            <w:pPr>
              <w:spacing w:after="0"/>
              <w:jc w:val="right"/>
              <w:bidi w:val="1"/>
            </w:pPr>
            <w:r>
              <w:rPr>
                <w:rFonts w:ascii="Arial" w:hAnsi="Arial" w:cs="Arial"/>
                <w:b w:val="0"/>
                <w:i w:val="0"/>
                <w:sz w:val="18"/>
              </w:rPr>
              <w:t>قد يكون الإنسان صادق النية ومع ذلك مخطئاً.</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5</w:t>
            </w:r>
          </w:p>
        </w:tc>
        <w:tc>
          <w:tcPr>
            <w:tcW w:type="dxa" w:w="5032"/>
          </w:tcPr>
          <w:p>
            <w:pPr>
              <w:jc w:val="right"/>
              <w:bidi w:val="1"/>
            </w:pPr>
            <w:r>
              <w:rPr>
                <w:rFonts w:ascii="Arial" w:hAnsi="Arial" w:cs="Arial"/>
                <w:b/>
                <w:i w:val="0"/>
                <w:color w:val="1F4E79"/>
                <w:sz w:val="18"/>
              </w:rPr>
              <w:t>حنانيا وسفيرة يحذران من الرياء الديني المتعمد.</w:t>
            </w:r>
          </w:p>
          <w:p>
            <w:pPr>
              <w:spacing w:after="0"/>
              <w:jc w:val="right"/>
              <w:bidi w:val="1"/>
            </w:pPr>
            <w:r>
              <w:rPr>
                <w:rFonts w:ascii="Arial" w:hAnsi="Arial" w:cs="Arial"/>
                <w:b w:val="0"/>
                <w:i w:val="0"/>
                <w:sz w:val="18"/>
              </w:rPr>
              <w:t>المشكلة كانت الكذب وخلق مظهر زائف لا مجرد الاحتفاظ بجزء من المال.</w:t>
            </w:r>
          </w:p>
        </w:tc>
      </w:tr>
    </w:tbl>
    <w:tbl>
      <w:tblPr>
        <w:tblW w:type="auto" w:w="0"/>
        <w:jc w:val="center"/>
        <w:tblLook w:firstColumn="1" w:firstRow="1" w:lastColumn="0" w:lastRow="0" w:noHBand="0" w:noVBand="1" w:val="04A0"/>
      </w:tblPr>
      <w:tblGrid>
        <w:gridCol w:w="5032"/>
        <w:gridCol w:w="5032"/>
      </w:tblGrid>
      <w:tr>
        <w:trPr>
          <w:cantSplit/>
        </w:trPr>
        <w:tc>
          <w:tcPr>
            <w:tcW w:type="dxa" w:w="5032"/>
            <w:shd w:fill="D9EAF7"/>
          </w:tcPr>
          <w:p>
            <w:pPr>
              <w:jc w:val="center"/>
              <w:bidi w:val="1"/>
            </w:pPr>
            <w:r>
              <w:rPr>
                <w:rFonts w:ascii="Arial" w:hAnsi="Arial" w:cs="Arial"/>
                <w:b/>
                <w:i w:val="0"/>
                <w:color w:val="1F4E79"/>
                <w:sz w:val="19"/>
              </w:rPr>
              <w:t>6</w:t>
            </w:r>
          </w:p>
        </w:tc>
        <w:tc>
          <w:tcPr>
            <w:tcW w:type="dxa" w:w="5032"/>
          </w:tcPr>
          <w:p>
            <w:pPr>
              <w:jc w:val="right"/>
              <w:bidi w:val="1"/>
            </w:pPr>
            <w:r>
              <w:rPr>
                <w:rFonts w:ascii="Arial" w:hAnsi="Arial" w:cs="Arial"/>
                <w:b/>
                <w:i w:val="0"/>
                <w:color w:val="1F4E79"/>
                <w:sz w:val="18"/>
              </w:rPr>
              <w:t>يسوع هو المثال الكامل للحق بلا غش.</w:t>
            </w:r>
          </w:p>
          <w:p>
            <w:pPr>
              <w:spacing w:after="0"/>
              <w:jc w:val="right"/>
              <w:bidi w:val="1"/>
            </w:pPr>
            <w:r>
              <w:rPr>
                <w:rFonts w:ascii="Arial" w:hAnsi="Arial" w:cs="Arial"/>
                <w:b w:val="0"/>
                <w:i w:val="0"/>
                <w:sz w:val="18"/>
              </w:rPr>
              <w:t>ينبغي لتلاميذه أن يكونوا موثوقين وعادلين وشفافين.</w:t>
            </w:r>
          </w:p>
        </w:tc>
      </w:tr>
    </w:tbl>
    <w:p>
      <w:pPr>
        <w:spacing w:before="60" w:after="20"/>
        <w:jc w:val="right"/>
        <w:keepNext/>
        <w:bidi w:val="1"/>
      </w:pPr>
      <w:r>
        <w:rPr>
          <w:rFonts w:ascii="Arial" w:hAnsi="Arial" w:cs="Arial"/>
          <w:b/>
          <w:i w:val="0"/>
          <w:color w:val="1F4E79"/>
          <w:sz w:val="24"/>
        </w:rPr>
        <w:t>فصول للقراءة</w:t>
      </w:r>
    </w:p>
    <w:p>
      <w:pPr>
        <w:spacing w:after="32" w:line="235" w:lineRule="auto"/>
        <w:jc w:val="right"/>
        <w:bidi w:val="1"/>
      </w:pPr>
      <w:r>
        <w:rPr>
          <w:rFonts w:ascii="Arial" w:hAnsi="Arial" w:cs="Arial"/>
          <w:b w:val="0"/>
          <w:i w:val="0"/>
          <w:sz w:val="19"/>
        </w:rPr>
        <w:t>أعمال 5:1-11  •  رومية 12:9-21  •  فيلبي 4:4-9  •  ميخا 6  •  العدد 13-14  •  أيوب 42:1-10  •  لوقا 6:27-38</w:t>
      </w:r>
    </w:p>
    <w:p>
      <w:pPr>
        <w:spacing w:before="60" w:after="20"/>
        <w:jc w:val="right"/>
        <w:keepNext/>
        <w:bidi w:val="1"/>
      </w:pPr>
      <w:r>
        <w:rPr>
          <w:rFonts w:ascii="Arial" w:hAnsi="Arial" w:cs="Arial"/>
          <w:b/>
          <w:i w:val="0"/>
          <w:color w:val="1F4E79"/>
          <w:sz w:val="24"/>
        </w:rPr>
        <w:t>للحفظ  •  رومية 12:17</w:t>
      </w:r>
    </w:p>
    <w:tbl>
      <w:tblPr>
        <w:tblW w:type="auto" w:w="0"/>
        <w:jc w:val="center"/>
        <w:tblLook w:firstColumn="1" w:firstRow="1" w:lastColumn="0" w:lastRow="0" w:noHBand="0" w:noVBand="1" w:val="04A0"/>
      </w:tblPr>
      <w:tblGrid>
        <w:gridCol w:w="10065"/>
      </w:tblGrid>
      <w:tr>
        <w:trPr>
          <w:cantSplit/>
        </w:trPr>
        <w:tc>
          <w:tcPr>
            <w:tcW w:type="dxa" w:w="10065"/>
            <w:shd w:fill="EDF4F9"/>
          </w:tcPr>
          <w:p>
            <w:pPr>
              <w:spacing w:after="10"/>
              <w:jc w:val="right"/>
              <w:bidi w:val="1"/>
            </w:pPr>
            <w:r>
              <w:rPr>
                <w:rFonts w:ascii="Arial" w:hAnsi="Arial" w:cs="Arial"/>
                <w:b w:val="0"/>
                <w:i/>
                <w:sz w:val="18"/>
              </w:rPr>
              <w:t>«لا تجازوا أحداً عن شر بشر. معتنين بأمور حسنة قدام جميع الناس.»</w:t>
            </w:r>
          </w:p>
          <w:p>
            <w:pPr>
              <w:spacing w:after="0"/>
              <w:jc w:val="right"/>
              <w:bidi w:val="1"/>
            </w:pPr>
            <w:r>
              <w:rPr>
                <w:rFonts w:ascii="Arial" w:hAnsi="Arial" w:cs="Arial"/>
                <w:b/>
                <w:i w:val="0"/>
                <w:color w:val="333333"/>
                <w:sz w:val="17"/>
              </w:rPr>
              <w:t>رومية 12:17  •  King James Version</w:t>
            </w:r>
          </w:p>
        </w:tc>
      </w:tr>
    </w:tbl>
    <w:sectPr w:rsidR="00FC693F" w:rsidRPr="0006063C" w:rsidSect="00034616">
      <w:headerReference w:type="default" r:id="rId9"/>
      <w:footerReference w:type="default" r:id="rId10"/>
      <w:pgSz w:w="11909" w:h="16834"/>
      <w:pgMar w:top="720" w:right="922" w:bottom="749" w:left="92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bidi w:val="1"/>
    </w:pPr>
    <w:r>
      <w:rPr>
        <w:rFonts w:ascii="Arial" w:hAnsi="Arial" w:cs="Arial"/>
        <w:b w:val="0"/>
        <w:i w:val="0"/>
        <w:color w:val="333333"/>
        <w:sz w:val="15"/>
      </w:rPr>
      <w:t>Christadelphian Bible Mission  •  Box CBM, 404 Shaftmoor Lane, Birmingham B28 8SZ, England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bidi w:val="1"/>
    </w:pPr>
    <w:r>
      <w:rPr>
        <w:rFonts w:ascii="Arial" w:hAnsi="Arial" w:cs="Arial"/>
        <w:b/>
        <w:i w:val="0"/>
        <w:color w:val="1F4E79"/>
        <w:sz w:val="16"/>
      </w:rPr>
      <w:t>دورة الكتاب المقدس بالمراسلة للكريستادلفيان</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