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3</w:t>
      </w:r>
    </w:p>
    <w:p>
      <w:pPr>
        <w:spacing w:after="40"/>
        <w:jc w:val="center"/>
      </w:pPr>
      <w:r>
        <w:rPr>
          <w:b/>
          <w:i w:val="0"/>
          <w:color w:val="1F4E78"/>
          <w:sz w:val="40"/>
        </w:rPr>
        <w:t>La Bible : notre guide</w:t>
      </w:r>
    </w:p>
    <w:p>
      <w:pPr>
        <w:spacing w:after="80"/>
        <w:jc w:val="center"/>
      </w:pPr>
      <w:r>
        <w:rPr>
          <w:b/>
          <w:i w:val="0"/>
          <w:color w:val="666666"/>
          <w:sz w:val="20"/>
        </w:rPr>
        <w:t>LECTURE  •  PSAUME 119:1–40</w:t>
      </w:r>
    </w:p>
    <w:p>
      <w:pPr>
        <w:spacing w:after="160"/>
        <w:jc w:val="center"/>
      </w:pPr>
      <w:r>
        <w:rPr>
          <w:b/>
          <w:i/>
          <w:color w:val="1F4E78"/>
          <w:sz w:val="22"/>
        </w:rPr>
        <w:t>Un livre qui fait une affirmation remarquable</w:t>
      </w:r>
    </w:p>
    <w:p>
      <w:r>
        <w:t>La Bible ne se présente pas simplement comme une collection d’idées humaines. Elle affirme être la Parole de Dieu et parler ainsi avec l’autorité du Créateur.</w:t>
      </w:r>
    </w:p>
    <w:p>
      <w:pPr>
        <w:keepNext/>
        <w:spacing w:before="100" w:after="60"/>
      </w:pPr>
      <w:r>
        <w:rPr>
          <w:b/>
          <w:color w:val="1F4E78"/>
          <w:sz w:val="26"/>
        </w:rPr>
        <w:t>L’affirmation de la Bible</w:t>
      </w:r>
    </w:p>
    <w:p>
      <w:r>
        <w:t>La Bible déclare : « Toute Écriture est inspirée de Dieu » (2 Timothée 3:16). Le mot traduit par « inspirée » porte l’idée d’un message soufflé par Dieu. Les écrivains bibliques sont présentés comme des hommes guidés par Dieu pour consigner Son message. Les prophètes de l’Ancien Testament introduisent souvent leurs paroles par des expressions telles que : « Ainsi parle l’Éternel. »</w:t>
      </w:r>
    </w:p>
    <w:p>
      <w:r>
        <w:t>Si la Bible n’était qu’un livre humain, son message pourrait être traité comme une opinion parmi d’autres. Mais si elle est réellement le message de Dieu aux hommes et aux femmes, alors la lire, la comprendre et y répondre deviennent des questions d’une grande importance.</w:t>
      </w:r>
    </w:p>
    <w:p>
      <w:pPr>
        <w:keepNext/>
        <w:spacing w:before="100" w:after="60"/>
      </w:pPr>
      <w:r>
        <w:rPr>
          <w:b/>
          <w:color w:val="1F4E78"/>
          <w:sz w:val="26"/>
        </w:rPr>
        <w:t>Comment savons-nous que la Bible est vraie ?</w:t>
      </w:r>
    </w:p>
    <w:p>
      <w:r>
        <w:t>Le cours reviendra souvent sur cette question. Voici quelques formes de preuves que les Christadelphiens considèrent comme soutenant l’affirmation de la Bible d’être la Parole de Dieu.</w:t>
      </w:r>
    </w:p>
    <w:p>
      <w:pPr>
        <w:keepNext/>
        <w:spacing w:before="100" w:after="60"/>
      </w:pPr>
      <w:r>
        <w:rPr>
          <w:b/>
          <w:color w:val="1F4E78"/>
          <w:sz w:val="26"/>
        </w:rPr>
        <w:t>1. La naissance de Jésus</w:t>
      </w:r>
    </w:p>
    <w:p>
      <w:r>
        <w:t>Matthieu 2 rapporte que les mages demandèrent à Hérode où devait naître le roi des Juifs. Les chefs religieux répondirent : à Bethléhem de Judée. Ils le savaient parce que le prophète Michée avait nommé Bethléhem des siècles auparavant (Michée 5:2 ; Matthieu 2:2, 5–6).</w:t>
      </w:r>
    </w:p>
    <w:p>
      <w:pPr>
        <w:keepNext/>
        <w:spacing w:before="100" w:after="60"/>
      </w:pPr>
      <w:r>
        <w:rPr>
          <w:b/>
          <w:color w:val="1F4E78"/>
          <w:sz w:val="26"/>
        </w:rPr>
        <w:t>2. La mort de Jésus</w:t>
      </w:r>
    </w:p>
    <w:p>
      <w:r>
        <w:t>Le Psaume 22 contient des détails que le Nouveau Testament relie à la mort de Jésus. Le verset 16 parle des mains et des pieds percés, et le verset 18 décrit le partage des vêtements et le tirage au sort. Jean 19:23–24 raconte que les soldats partagèrent les vêtements de Jésus et tirèrent au sort sa tunique.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Pourquoi cela est frappant</w:t>
            </w:r>
          </w:p>
          <w:p>
            <w:r>
              <w:t>Le Psaume 22 fut écrit bien avant l’époque de Jésus. Les Christadelphiens voient dans la correspondance entre le psaume et les récits évangéliques une preuve puissante de prophétie.</w:t>
            </w:r>
          </w:p>
        </w:tc>
      </w:tr>
    </w:tbl>
    <w:p/>
    <w:p>
      <w:pPr>
        <w:keepNext/>
        <w:spacing w:before="100" w:after="60"/>
      </w:pPr>
      <w:r>
        <w:rPr>
          <w:b/>
          <w:color w:val="1F4E78"/>
          <w:sz w:val="26"/>
        </w:rPr>
        <w:t>3. De grands événements annoncés</w:t>
      </w:r>
    </w:p>
    <w:p>
      <w:r>
        <w:t>Ésaïe 13:19–20 annonçait la chute de Babylone. Lorsque le prophète écrivit, Babylone était une ville célèbre et puissante. Plus tard, elle tomba en ruine. Les Christadelphiens considèrent cela, avec de nombreuses autres prophéties accomplies, comme une preuve que la Bible possède une connaissance dépassant la prévision humaine ordinaire.</w:t>
      </w:r>
    </w:p>
    <w:p>
      <w:pPr>
        <w:keepNext/>
        <w:spacing w:before="100" w:after="60"/>
      </w:pPr>
      <w:r>
        <w:rPr>
          <w:b/>
          <w:color w:val="1F4E78"/>
          <w:sz w:val="26"/>
        </w:rPr>
        <w:t>L’archéologie et la Bible</w:t>
      </w:r>
    </w:p>
    <w:p>
      <w:r>
        <w:t>L’archéologie a confirmé le cadre historique de nombreux lieux et peuples cités dans la Bible. Des sites associés à Aï, Askalon, Béthel, Beth-Shémesh, Guibea, Hatsor, Jéricho, Lakis, Meguiddo, Samarie et Sichem, entre autres, sont connus des archéologues. Les vestiges des anciennes villes montrent que la Bible décrit des lieux réels du monde antique.</w:t>
      </w:r>
    </w:p>
    <w:p>
      <w:pPr>
        <w:keepNext/>
        <w:spacing w:before="100" w:after="60"/>
      </w:pPr>
      <w:r>
        <w:rPr>
          <w:b/>
          <w:color w:val="1F4E78"/>
          <w:sz w:val="26"/>
        </w:rPr>
        <w:t>Le texte a été préservé</w:t>
      </w:r>
    </w:p>
    <w:p>
      <w:r>
        <w:t>Parmi les manuscrits de la mer Morte découverts à partir de 1947 se trouvait une très ancienne copie du livre d’Ésaïe. Elle date d’environ deux mille ans, mais son texte est essentiellement le même que le texte hébreu à partir duquel l’Ancien Testament moderne est traduit. Cela constitue une preuve importante de la transmission soigneuse du texte biblique au cours des siècles.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message transmis à travers les siècles</w:t>
            </w:r>
          </w:p>
          <w:p>
            <w:r>
              <w:t>Les manuscrits anciens permettent de comparer des copies très anciennes de l’Écriture avec le texte que nous possédons aujourd’hui. Le message général n’a pas été perdu ni remplacé.</w:t>
            </w:r>
          </w:p>
        </w:tc>
      </w:tr>
    </w:tbl>
    <w:p/>
    <w:p>
      <w:pPr>
        <w:keepNext/>
        <w:spacing w:before="100" w:after="60"/>
      </w:pPr>
      <w:r>
        <w:rPr>
          <w:b/>
          <w:color w:val="1F4E78"/>
          <w:sz w:val="26"/>
        </w:rPr>
        <w:t>Jésus acceptait le récit de l’Ancien Testament</w:t>
      </w:r>
    </w:p>
    <w:p>
      <w:r>
        <w:t>Les Évangiles montrent Jésus faisant référence aux personnages et événements de l’Ancien Testament comme faisant partie du récit scripturaire. Les Christadelphiens prennent donc très au sérieux sa manière de considérer l’Ancien Testament.</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PERSONNE OU ÉVÉNEMENT</w:t>
            </w:r>
          </w:p>
        </w:tc>
        <w:tc>
          <w:tcPr>
            <w:tcW w:type="dxa" w:w="5227"/>
            <w:shd w:fill="1F4E78"/>
            <w:tcMar>
              <w:top w:w="90" w:type="dxa"/>
              <w:start w:w="110" w:type="dxa"/>
              <w:bottom w:w="90" w:type="dxa"/>
              <w:end w:w="110" w:type="dxa"/>
            </w:tcMar>
          </w:tcPr>
          <w:p>
            <w:r>
              <w:rPr>
                <w:b/>
                <w:color w:val="FFFFFF"/>
              </w:rPr>
              <w:t>RÉFÉRENCE</w:t>
            </w:r>
          </w:p>
        </w:tc>
      </w:tr>
      <w:tr>
        <w:trPr>
          <w:cantSplit/>
        </w:trPr>
        <w:tc>
          <w:tcPr>
            <w:tcW w:type="dxa" w:w="5227"/>
            <w:tcMar>
              <w:top w:w="90" w:type="dxa"/>
              <w:start w:w="110" w:type="dxa"/>
              <w:bottom w:w="90" w:type="dxa"/>
              <w:end w:w="110" w:type="dxa"/>
            </w:tcMar>
          </w:tcPr>
          <w:p>
            <w:r>
              <w:t>Adam et Ève</w:t>
            </w:r>
          </w:p>
        </w:tc>
        <w:tc>
          <w:tcPr>
            <w:tcW w:type="dxa" w:w="5227"/>
            <w:tcMar>
              <w:top w:w="90" w:type="dxa"/>
              <w:start w:w="110" w:type="dxa"/>
              <w:bottom w:w="90" w:type="dxa"/>
              <w:end w:w="110" w:type="dxa"/>
            </w:tcMar>
          </w:tcPr>
          <w:p>
            <w:r>
              <w:t>Matthieu 19:4–5</w:t>
            </w:r>
          </w:p>
        </w:tc>
      </w:tr>
      <w:tr>
        <w:trPr>
          <w:cantSplit/>
        </w:trPr>
        <w:tc>
          <w:tcPr>
            <w:tcW w:type="dxa" w:w="5227"/>
            <w:tcMar>
              <w:top w:w="90" w:type="dxa"/>
              <w:start w:w="110" w:type="dxa"/>
              <w:bottom w:w="90" w:type="dxa"/>
              <w:end w:w="110" w:type="dxa"/>
            </w:tcMar>
            <w:shd w:fill="EAF2F8"/>
          </w:tcPr>
          <w:p>
            <w:r>
              <w:t>Noé et le déluge</w:t>
            </w:r>
          </w:p>
        </w:tc>
        <w:tc>
          <w:tcPr>
            <w:tcW w:type="dxa" w:w="5227"/>
            <w:tcMar>
              <w:top w:w="90" w:type="dxa"/>
              <w:start w:w="110" w:type="dxa"/>
              <w:bottom w:w="90" w:type="dxa"/>
              <w:end w:w="110" w:type="dxa"/>
            </w:tcMar>
            <w:shd w:fill="EAF2F8"/>
          </w:tcPr>
          <w:p>
            <w:r>
              <w:t>Luc 17:26–27</w:t>
            </w:r>
          </w:p>
        </w:tc>
      </w:tr>
      <w:tr>
        <w:trPr>
          <w:cantSplit/>
        </w:trPr>
        <w:tc>
          <w:tcPr>
            <w:tcW w:type="dxa" w:w="5227"/>
            <w:tcMar>
              <w:top w:w="90" w:type="dxa"/>
              <w:start w:w="110" w:type="dxa"/>
              <w:bottom w:w="90" w:type="dxa"/>
              <w:end w:w="110" w:type="dxa"/>
            </w:tcMar>
          </w:tcPr>
          <w:p>
            <w:r>
              <w:t>Lot et sa femme</w:t>
            </w:r>
          </w:p>
        </w:tc>
        <w:tc>
          <w:tcPr>
            <w:tcW w:type="dxa" w:w="5227"/>
            <w:tcMar>
              <w:top w:w="90" w:type="dxa"/>
              <w:start w:w="110" w:type="dxa"/>
              <w:bottom w:w="90" w:type="dxa"/>
              <w:end w:w="110" w:type="dxa"/>
            </w:tcMar>
          </w:tcPr>
          <w:p>
            <w:r>
              <w:t>Luc 17:29–32</w:t>
            </w:r>
          </w:p>
        </w:tc>
      </w:tr>
      <w:tr>
        <w:trPr>
          <w:cantSplit/>
        </w:trPr>
        <w:tc>
          <w:tcPr>
            <w:tcW w:type="dxa" w:w="5227"/>
            <w:tcMar>
              <w:top w:w="90" w:type="dxa"/>
              <w:start w:w="110" w:type="dxa"/>
              <w:bottom w:w="90" w:type="dxa"/>
              <w:end w:w="110" w:type="dxa"/>
            </w:tcMar>
            <w:shd w:fill="EAF2F8"/>
          </w:tcPr>
          <w:p>
            <w:r>
              <w:t>Abraham, Isaac et Jacob</w:t>
            </w:r>
          </w:p>
        </w:tc>
        <w:tc>
          <w:tcPr>
            <w:tcW w:type="dxa" w:w="5227"/>
            <w:tcMar>
              <w:top w:w="90" w:type="dxa"/>
              <w:start w:w="110" w:type="dxa"/>
              <w:bottom w:w="90" w:type="dxa"/>
              <w:end w:w="110" w:type="dxa"/>
            </w:tcMar>
            <w:shd w:fill="EAF2F8"/>
          </w:tcPr>
          <w:p>
            <w:r>
              <w:t>Matthieu 8:11</w:t>
            </w:r>
          </w:p>
        </w:tc>
      </w:tr>
      <w:tr>
        <w:trPr>
          <w:cantSplit/>
        </w:trPr>
        <w:tc>
          <w:tcPr>
            <w:tcW w:type="dxa" w:w="5227"/>
            <w:tcMar>
              <w:top w:w="90" w:type="dxa"/>
              <w:start w:w="110" w:type="dxa"/>
              <w:bottom w:w="90" w:type="dxa"/>
              <w:end w:w="110" w:type="dxa"/>
            </w:tcMar>
          </w:tcPr>
          <w:p>
            <w:r>
              <w:t>David et Salomon</w:t>
            </w:r>
          </w:p>
        </w:tc>
        <w:tc>
          <w:tcPr>
            <w:tcW w:type="dxa" w:w="5227"/>
            <w:tcMar>
              <w:top w:w="90" w:type="dxa"/>
              <w:start w:w="110" w:type="dxa"/>
              <w:bottom w:w="90" w:type="dxa"/>
              <w:end w:w="110" w:type="dxa"/>
            </w:tcMar>
          </w:tcPr>
          <w:p>
            <w:r>
              <w:t>Matthieu 12:3, 42</w:t>
            </w:r>
          </w:p>
        </w:tc>
      </w:tr>
      <w:tr>
        <w:trPr>
          <w:cantSplit/>
        </w:trPr>
        <w:tc>
          <w:tcPr>
            <w:tcW w:type="dxa" w:w="5227"/>
            <w:tcMar>
              <w:top w:w="90" w:type="dxa"/>
              <w:start w:w="110" w:type="dxa"/>
              <w:bottom w:w="90" w:type="dxa"/>
              <w:end w:w="110" w:type="dxa"/>
            </w:tcMar>
            <w:shd w:fill="EAF2F8"/>
          </w:tcPr>
          <w:p>
            <w:r>
              <w:t>Jonas et le grand poisson</w:t>
            </w:r>
          </w:p>
        </w:tc>
        <w:tc>
          <w:tcPr>
            <w:tcW w:type="dxa" w:w="5227"/>
            <w:tcMar>
              <w:top w:w="90" w:type="dxa"/>
              <w:start w:w="110" w:type="dxa"/>
              <w:bottom w:w="90" w:type="dxa"/>
              <w:end w:w="110" w:type="dxa"/>
            </w:tcMar>
            <w:shd w:fill="EAF2F8"/>
          </w:tcPr>
          <w:p>
            <w:r>
              <w:t>Matthieu 12:40</w:t>
            </w:r>
          </w:p>
        </w:tc>
      </w:tr>
    </w:tbl>
    <w:p/>
    <w:p>
      <w:r>
        <w:t>Le Nouveau Testament rapporte également que Dieu a ressuscité Jésus d’entre les morts le troisième jour. Pour les Christadelphiens, la résurrection est centrale pour l’autorité de Jésus et l’espérance chrétienne.</w:t>
      </w:r>
    </w:p>
    <w:p>
      <w:pPr>
        <w:keepNext/>
        <w:spacing w:before="100" w:after="60"/>
      </w:pPr>
      <w:r>
        <w:rPr>
          <w:b/>
          <w:color w:val="1F4E78"/>
          <w:sz w:val="26"/>
        </w:rPr>
        <w:t>La Bible a subi de nombreuses attaques</w:t>
      </w:r>
    </w:p>
    <w:p>
      <w:r>
        <w:t>Beaucoup de critiques ont essayé de discréditer la Bible. Les Christadelphiens croient que, malgré des siècles de critiques et d’examen, ses affirmations essentielles et son message n’ont pas été renversés. C’est pourquoi nous encourageons les étudiants à examiner eux-mêmes la Bible plutôt que d’accepter simplement ce que d’autres en disent.</w:t>
      </w:r>
    </w:p>
    <w:p>
      <w:pPr>
        <w:keepNext/>
        <w:spacing w:before="100" w:after="60"/>
      </w:pPr>
      <w:r>
        <w:rPr>
          <w:b/>
          <w:color w:val="1F4E78"/>
          <w:sz w:val="26"/>
        </w:rPr>
        <w:t>Le saviez-vous ?</w:t>
      </w:r>
    </w:p>
    <w:p>
      <w:pPr>
        <w:ind w:left="259"/>
      </w:pPr>
      <w:r>
        <w:rPr>
          <w:b/>
        </w:rPr>
        <w:t xml:space="preserve">•  </w:t>
      </w:r>
      <w:r>
        <w:t>La Bible a été écrite sur de nombreux siècles. Ses écrivains comprenaient des bergers, des rois, des pêcheurs, un médecin et un fabricant de tentes.</w:t>
      </w:r>
    </w:p>
    <w:p>
      <w:pPr>
        <w:ind w:left="259"/>
      </w:pPr>
      <w:r>
        <w:rPr>
          <w:b/>
        </w:rPr>
        <w:t xml:space="preserve">•  </w:t>
      </w:r>
      <w:r>
        <w:t>Elle contient 66 livres : 39 dans l’Ancien Testament et 27 dans le Nouveau Testament.</w:t>
      </w:r>
    </w:p>
    <w:p>
      <w:pPr>
        <w:ind w:left="259"/>
      </w:pPr>
      <w:r>
        <w:rPr>
          <w:b/>
        </w:rPr>
        <w:t xml:space="preserve">•  </w:t>
      </w:r>
      <w:r>
        <w:t>Presque tous ses écrivains humains étaient Juifs. Une grande partie de la Bible raconte les relations de Dieu avec le peuple juif.</w:t>
      </w:r>
    </w:p>
    <w:p>
      <w:pPr>
        <w:ind w:left="259"/>
      </w:pPr>
      <w:r>
        <w:rPr>
          <w:b/>
        </w:rPr>
        <w:t xml:space="preserve">•  </w:t>
      </w:r>
      <w:r>
        <w:t>Ses nombreux livres forment ensemble une histoire continue du dessein de Dieu avec les hommes et les femmes.</w:t>
      </w:r>
    </w:p>
    <w:p>
      <w:pPr>
        <w:keepNext/>
        <w:spacing w:before="100" w:after="60"/>
      </w:pPr>
      <w:r>
        <w:rPr>
          <w:b/>
          <w:color w:val="1F4E78"/>
          <w:sz w:val="26"/>
        </w:rPr>
        <w:t>Guide rapide de la Bible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L’ANCIEN TESTAMENT</w:t>
            </w:r>
          </w:p>
        </w:tc>
        <w:tc>
          <w:tcPr>
            <w:tcW w:type="dxa" w:w="5227"/>
            <w:shd w:fill="1F4E78"/>
            <w:tcMar>
              <w:top w:w="90" w:type="dxa"/>
              <w:start w:w="110" w:type="dxa"/>
              <w:bottom w:w="90" w:type="dxa"/>
              <w:end w:w="110" w:type="dxa"/>
            </w:tcMar>
          </w:tcPr>
          <w:p>
            <w:r>
              <w:rPr>
                <w:b/>
                <w:color w:val="FFFFFF"/>
              </w:rPr>
              <w:t>CONTENU</w:t>
            </w:r>
          </w:p>
        </w:tc>
      </w:tr>
      <w:tr>
        <w:trPr>
          <w:cantSplit/>
        </w:trPr>
        <w:tc>
          <w:tcPr>
            <w:tcW w:type="dxa" w:w="5227"/>
            <w:tcMar>
              <w:top w:w="90" w:type="dxa"/>
              <w:start w:w="110" w:type="dxa"/>
              <w:bottom w:w="90" w:type="dxa"/>
              <w:end w:w="110" w:type="dxa"/>
            </w:tcMar>
          </w:tcPr>
          <w:p>
            <w:r>
              <w:t>Genèse</w:t>
            </w:r>
          </w:p>
        </w:tc>
        <w:tc>
          <w:tcPr>
            <w:tcW w:type="dxa" w:w="5227"/>
            <w:tcMar>
              <w:top w:w="90" w:type="dxa"/>
              <w:start w:w="110" w:type="dxa"/>
              <w:bottom w:w="90" w:type="dxa"/>
              <w:end w:w="110" w:type="dxa"/>
            </w:tcMar>
          </w:tcPr>
          <w:p>
            <w:r>
              <w:t>Les commencements du monde et les relations de Dieu avec les premiers hommes et femmes, jusqu’à la famille d’Abraham.</w:t>
            </w:r>
          </w:p>
        </w:tc>
      </w:tr>
      <w:tr>
        <w:trPr>
          <w:cantSplit/>
        </w:trPr>
        <w:tc>
          <w:tcPr>
            <w:tcW w:type="dxa" w:w="5227"/>
            <w:tcMar>
              <w:top w:w="90" w:type="dxa"/>
              <w:start w:w="110" w:type="dxa"/>
              <w:bottom w:w="90" w:type="dxa"/>
              <w:end w:w="110" w:type="dxa"/>
            </w:tcMar>
            <w:shd w:fill="EAF2F8"/>
          </w:tcPr>
          <w:p>
            <w:r>
              <w:t>Exode–Deutéronome</w:t>
            </w:r>
          </w:p>
        </w:tc>
        <w:tc>
          <w:tcPr>
            <w:tcW w:type="dxa" w:w="5227"/>
            <w:tcMar>
              <w:top w:w="90" w:type="dxa"/>
              <w:start w:w="110" w:type="dxa"/>
              <w:bottom w:w="90" w:type="dxa"/>
              <w:end w:w="110" w:type="dxa"/>
            </w:tcMar>
            <w:shd w:fill="EAF2F8"/>
          </w:tcPr>
          <w:p>
            <w:r>
              <w:t>La sortie d’Israël d’Égypte, la loi de Dieu et la préparation à l’entrée en Canaan.</w:t>
            </w:r>
          </w:p>
        </w:tc>
      </w:tr>
      <w:tr>
        <w:trPr>
          <w:cantSplit/>
        </w:trPr>
        <w:tc>
          <w:tcPr>
            <w:tcW w:type="dxa" w:w="5227"/>
            <w:tcMar>
              <w:top w:w="90" w:type="dxa"/>
              <w:start w:w="110" w:type="dxa"/>
              <w:bottom w:w="90" w:type="dxa"/>
              <w:end w:w="110" w:type="dxa"/>
            </w:tcMar>
          </w:tcPr>
          <w:p>
            <w:r>
              <w:t>Josué–Esther</w:t>
            </w:r>
          </w:p>
        </w:tc>
        <w:tc>
          <w:tcPr>
            <w:tcW w:type="dxa" w:w="5227"/>
            <w:tcMar>
              <w:top w:w="90" w:type="dxa"/>
              <w:start w:w="110" w:type="dxa"/>
              <w:bottom w:w="90" w:type="dxa"/>
              <w:end w:w="110" w:type="dxa"/>
            </w:tcMar>
          </w:tcPr>
          <w:p>
            <w:r>
              <w:t>L’histoire du peuple juif dans le pays, l’exil et le retour.</w:t>
            </w:r>
          </w:p>
        </w:tc>
      </w:tr>
      <w:tr>
        <w:trPr>
          <w:cantSplit/>
        </w:trPr>
        <w:tc>
          <w:tcPr>
            <w:tcW w:type="dxa" w:w="5227"/>
            <w:tcMar>
              <w:top w:w="90" w:type="dxa"/>
              <w:start w:w="110" w:type="dxa"/>
              <w:bottom w:w="90" w:type="dxa"/>
              <w:end w:w="110" w:type="dxa"/>
            </w:tcMar>
            <w:shd w:fill="EAF2F8"/>
          </w:tcPr>
          <w:p>
            <w:r>
              <w:t>Job–Cantique des cantiques</w:t>
            </w:r>
          </w:p>
        </w:tc>
        <w:tc>
          <w:tcPr>
            <w:tcW w:type="dxa" w:w="5227"/>
            <w:tcMar>
              <w:top w:w="90" w:type="dxa"/>
              <w:start w:w="110" w:type="dxa"/>
              <w:bottom w:w="90" w:type="dxa"/>
              <w:end w:w="110" w:type="dxa"/>
            </w:tcMar>
            <w:shd w:fill="EAF2F8"/>
          </w:tcPr>
          <w:p>
            <w:r>
              <w:t>Poésie, adoration, sagesse et réflexion sur la vie avec Dieu.</w:t>
            </w:r>
          </w:p>
        </w:tc>
      </w:tr>
      <w:tr>
        <w:trPr>
          <w:cantSplit/>
        </w:trPr>
        <w:tc>
          <w:tcPr>
            <w:tcW w:type="dxa" w:w="5227"/>
            <w:tcMar>
              <w:top w:w="90" w:type="dxa"/>
              <w:start w:w="110" w:type="dxa"/>
              <w:bottom w:w="90" w:type="dxa"/>
              <w:end w:w="110" w:type="dxa"/>
            </w:tcMar>
          </w:tcPr>
          <w:p>
            <w:r>
              <w:t>Ésaïe–Malachie</w:t>
            </w:r>
          </w:p>
        </w:tc>
        <w:tc>
          <w:tcPr>
            <w:tcW w:type="dxa" w:w="5227"/>
            <w:tcMar>
              <w:top w:w="90" w:type="dxa"/>
              <w:start w:w="110" w:type="dxa"/>
              <w:bottom w:w="90" w:type="dxa"/>
              <w:end w:w="110" w:type="dxa"/>
            </w:tcMar>
          </w:tcPr>
          <w:p>
            <w:r>
              <w:t>Les prophètes : appels à l’obéissance, avertissements, promesses et prophéties.</w:t>
            </w:r>
          </w:p>
        </w:tc>
      </w:tr>
    </w:tbl>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LE NOUVEAU TESTAMENT</w:t>
            </w:r>
          </w:p>
        </w:tc>
        <w:tc>
          <w:tcPr>
            <w:tcW w:type="dxa" w:w="5227"/>
            <w:shd w:fill="1F4E78"/>
            <w:tcMar>
              <w:top w:w="90" w:type="dxa"/>
              <w:start w:w="110" w:type="dxa"/>
              <w:bottom w:w="90" w:type="dxa"/>
              <w:end w:w="110" w:type="dxa"/>
            </w:tcMar>
          </w:tcPr>
          <w:p>
            <w:r>
              <w:rPr>
                <w:b/>
                <w:color w:val="FFFFFF"/>
              </w:rPr>
              <w:t>CONTENU</w:t>
            </w:r>
          </w:p>
        </w:tc>
      </w:tr>
      <w:tr>
        <w:trPr>
          <w:cantSplit/>
        </w:trPr>
        <w:tc>
          <w:tcPr>
            <w:tcW w:type="dxa" w:w="5227"/>
            <w:tcMar>
              <w:top w:w="90" w:type="dxa"/>
              <w:start w:w="110" w:type="dxa"/>
              <w:bottom w:w="90" w:type="dxa"/>
              <w:end w:w="110" w:type="dxa"/>
            </w:tcMar>
          </w:tcPr>
          <w:p>
            <w:r>
              <w:t>Matthieu–Jean</w:t>
            </w:r>
          </w:p>
        </w:tc>
        <w:tc>
          <w:tcPr>
            <w:tcW w:type="dxa" w:w="5227"/>
            <w:tcMar>
              <w:top w:w="90" w:type="dxa"/>
              <w:start w:w="110" w:type="dxa"/>
              <w:bottom w:w="90" w:type="dxa"/>
              <w:end w:w="110" w:type="dxa"/>
            </w:tcMar>
          </w:tcPr>
          <w:p>
            <w:r>
              <w:t>Quatre récits de la vie, de l’enseignement, de la mort et de la résurrection de Jésus-Christ.</w:t>
            </w:r>
          </w:p>
        </w:tc>
      </w:tr>
      <w:tr>
        <w:trPr>
          <w:cantSplit/>
        </w:trPr>
        <w:tc>
          <w:tcPr>
            <w:tcW w:type="dxa" w:w="5227"/>
            <w:tcMar>
              <w:top w:w="90" w:type="dxa"/>
              <w:start w:w="110" w:type="dxa"/>
              <w:bottom w:w="90" w:type="dxa"/>
              <w:end w:w="110" w:type="dxa"/>
            </w:tcMar>
            <w:shd w:fill="EAF2F8"/>
          </w:tcPr>
          <w:p>
            <w:r>
              <w:t>Actes</w:t>
            </w:r>
          </w:p>
        </w:tc>
        <w:tc>
          <w:tcPr>
            <w:tcW w:type="dxa" w:w="5227"/>
            <w:tcMar>
              <w:top w:w="90" w:type="dxa"/>
              <w:start w:w="110" w:type="dxa"/>
              <w:bottom w:w="90" w:type="dxa"/>
              <w:end w:w="110" w:type="dxa"/>
            </w:tcMar>
            <w:shd w:fill="EAF2F8"/>
          </w:tcPr>
          <w:p>
            <w:r>
              <w:t>Le développement des ecclésias du premier siècle et la prédication de l’Évangile.</w:t>
            </w:r>
          </w:p>
        </w:tc>
      </w:tr>
      <w:tr>
        <w:trPr>
          <w:cantSplit/>
        </w:trPr>
        <w:tc>
          <w:tcPr>
            <w:tcW w:type="dxa" w:w="5227"/>
            <w:tcMar>
              <w:top w:w="90" w:type="dxa"/>
              <w:start w:w="110" w:type="dxa"/>
              <w:bottom w:w="90" w:type="dxa"/>
              <w:end w:w="110" w:type="dxa"/>
            </w:tcMar>
          </w:tcPr>
          <w:p>
            <w:r>
              <w:t>Romains–Jude</w:t>
            </w:r>
          </w:p>
        </w:tc>
        <w:tc>
          <w:tcPr>
            <w:tcW w:type="dxa" w:w="5227"/>
            <w:tcMar>
              <w:top w:w="90" w:type="dxa"/>
              <w:start w:w="110" w:type="dxa"/>
              <w:bottom w:w="90" w:type="dxa"/>
              <w:end w:w="110" w:type="dxa"/>
            </w:tcMar>
          </w:tcPr>
          <w:p>
            <w:r>
              <w:t>Des lettres apostoliques pour enseigner, encourager et corriger les premiers croyants.</w:t>
            </w:r>
          </w:p>
        </w:tc>
      </w:tr>
      <w:tr>
        <w:trPr>
          <w:cantSplit/>
        </w:trPr>
        <w:tc>
          <w:tcPr>
            <w:tcW w:type="dxa" w:w="5227"/>
            <w:tcMar>
              <w:top w:w="90" w:type="dxa"/>
              <w:start w:w="110" w:type="dxa"/>
              <w:bottom w:w="90" w:type="dxa"/>
              <w:end w:w="110" w:type="dxa"/>
            </w:tcMar>
            <w:shd w:fill="EAF2F8"/>
          </w:tcPr>
          <w:p>
            <w:r>
              <w:t>Apocalypse</w:t>
            </w:r>
          </w:p>
        </w:tc>
        <w:tc>
          <w:tcPr>
            <w:tcW w:type="dxa" w:w="5227"/>
            <w:tcMar>
              <w:top w:w="90" w:type="dxa"/>
              <w:start w:w="110" w:type="dxa"/>
              <w:bottom w:w="90" w:type="dxa"/>
              <w:end w:w="110" w:type="dxa"/>
            </w:tcMar>
            <w:shd w:fill="EAF2F8"/>
          </w:tcPr>
          <w:p>
            <w:r>
              <w:t>Un livre prophétique donné par Jésus-Christ sur l’accomplissement du dessein de Dieu.</w:t>
            </w:r>
          </w:p>
        </w:tc>
      </w:tr>
    </w:tbl>
    <w:p/>
    <w:p>
      <w:pPr>
        <w:keepNext/>
        <w:spacing w:before="100" w:after="60"/>
      </w:pPr>
      <w:r>
        <w:rPr>
          <w:b/>
          <w:color w:val="1F4E78"/>
          <w:sz w:val="26"/>
        </w:rPr>
        <w:t>Existe-t-il d’autres révélations écrites de Dieu ?</w:t>
      </w:r>
    </w:p>
    <w:p>
      <w:r>
        <w:t>De nombreuses religions possèdent des écrits qu’elles considèrent comme sacrés. Les musulmans, par exemple, ont le Coran ; l’Église de Jésus-Christ des Saints des Derniers Jours utilise le Livre de Mormon. Certains écrits religieux contiennent des idées également présentes dans la Bible ou de bons conseils moraux, mais ils contiennent aussi des enseignements qui diffèrent de la Bible.</w:t>
      </w:r>
    </w:p>
    <w:p>
      <w:r>
        <w:t>Les Christadelphiens croient que Dieu ne donne pas des révélations contradictoires. Ce cours part donc de la conviction que la Bible seule est la Parole inspirée de Dieu et que les écrits ultérieurs doivent être testés à sa lumière, non placés à côté d’elle comme une autre autorité divine.</w:t>
      </w:r>
    </w:p>
    <w:p>
      <w:pPr>
        <w:keepNext/>
        <w:spacing w:before="100" w:after="60"/>
      </w:pPr>
      <w:r>
        <w:rPr>
          <w:b/>
          <w:color w:val="1F4E78"/>
          <w:sz w:val="26"/>
        </w:rPr>
        <w:t>La Bible, notre guide pour vivre</w:t>
      </w:r>
    </w:p>
    <w:p>
      <w:r>
        <w:t>La Bible fait plus que raconter le passé. Elle explique le problème humain du péché, le dessein de Dieu par Son Fils Jésus-Christ et l’espérance de la vie éternelle. Elle présente des exemples d’hommes et de femmes fidèles, rapporte des échecs dont nous pouvons apprendre et enseigne des principes pour la vie quotidienne.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Parole vivante</w:t>
            </w:r>
          </w:p>
          <w:p>
            <w:r>
              <w:t>Dieu a donné aux hommes et aux femmes un livre par lequel ils peuvent Le connaître, comprendre Son dessein et apprendre comment Il veut qu’ils vivent. La Bible n’est pas destinée à rester fermée sur une étagère : elle doit être lue attentivement, régulièrement et dans la prière.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La Bible est unique : elle affirme être la Parole de Dieu.</w:t>
            </w:r>
          </w:p>
        </w:tc>
      </w:tr>
      <w:tr>
        <w:trPr>
          <w:cantSplit/>
        </w:trPr>
        <w:tc>
          <w:tcPr>
            <w:tcW w:type="dxa" w:w="5227"/>
            <w:shd w:fill="1F4E78"/>
          </w:tcPr>
          <w:p>
            <w:pPr>
              <w:jc w:val="center"/>
            </w:pPr>
            <w:r>
              <w:rPr>
                <w:b/>
                <w:color w:val="FFFFFF"/>
              </w:rPr>
              <w:t>2</w:t>
            </w:r>
          </w:p>
        </w:tc>
        <w:tc>
          <w:tcPr>
            <w:tcW w:type="dxa" w:w="5227"/>
          </w:tcPr>
          <w:p>
            <w:r>
              <w:t>Elle offre une espérance centrée sur le dessein de Dieu par Jésus-Christ.</w:t>
            </w:r>
          </w:p>
        </w:tc>
      </w:tr>
      <w:tr>
        <w:trPr>
          <w:cantSplit/>
        </w:trPr>
        <w:tc>
          <w:tcPr>
            <w:tcW w:type="dxa" w:w="5227"/>
            <w:shd w:fill="1F4E78"/>
          </w:tcPr>
          <w:p>
            <w:pPr>
              <w:jc w:val="center"/>
            </w:pPr>
            <w:r>
              <w:rPr>
                <w:b/>
                <w:color w:val="FFFFFF"/>
              </w:rPr>
              <w:t>3</w:t>
            </w:r>
          </w:p>
        </w:tc>
        <w:tc>
          <w:tcPr>
            <w:tcW w:type="dxa" w:w="5227"/>
          </w:tcPr>
          <w:p>
            <w:r>
              <w:t>Jésus acceptait l’autorité des Écritures de l’Ancien Testament.</w:t>
            </w:r>
          </w:p>
        </w:tc>
      </w:tr>
      <w:tr>
        <w:trPr>
          <w:cantSplit/>
        </w:trPr>
        <w:tc>
          <w:tcPr>
            <w:tcW w:type="dxa" w:w="5227"/>
            <w:shd w:fill="1F4E78"/>
          </w:tcPr>
          <w:p>
            <w:pPr>
              <w:jc w:val="center"/>
            </w:pPr>
            <w:r>
              <w:rPr>
                <w:b/>
                <w:color w:val="FFFFFF"/>
              </w:rPr>
              <w:t>4</w:t>
            </w:r>
          </w:p>
        </w:tc>
        <w:tc>
          <w:tcPr>
            <w:tcW w:type="dxa" w:w="5227"/>
          </w:tcPr>
          <w:p>
            <w:r>
              <w:t>Prophétie, histoire, archéologie et manuscrits anciens offrent des éléments sérieux à examiner.</w:t>
            </w:r>
          </w:p>
        </w:tc>
      </w:tr>
      <w:tr>
        <w:trPr>
          <w:cantSplit/>
        </w:trPr>
        <w:tc>
          <w:tcPr>
            <w:tcW w:type="dxa" w:w="5227"/>
            <w:shd w:fill="1F4E78"/>
          </w:tcPr>
          <w:p>
            <w:pPr>
              <w:jc w:val="center"/>
            </w:pPr>
            <w:r>
              <w:rPr>
                <w:b/>
                <w:color w:val="FFFFFF"/>
              </w:rPr>
              <w:t>5</w:t>
            </w:r>
          </w:p>
        </w:tc>
        <w:tc>
          <w:tcPr>
            <w:tcW w:type="dxa" w:w="5227"/>
          </w:tcPr>
          <w:p>
            <w:r>
              <w:t>Les 66 livres racontent une histoire continue du dessein de Dieu.</w:t>
            </w:r>
          </w:p>
        </w:tc>
      </w:tr>
      <w:tr>
        <w:trPr>
          <w:cantSplit/>
        </w:trPr>
        <w:tc>
          <w:tcPr>
            <w:tcW w:type="dxa" w:w="5227"/>
            <w:shd w:fill="1F4E78"/>
          </w:tcPr>
          <w:p>
            <w:pPr>
              <w:jc w:val="center"/>
            </w:pPr>
            <w:r>
              <w:rPr>
                <w:b/>
                <w:color w:val="FFFFFF"/>
              </w:rPr>
              <w:t>6</w:t>
            </w:r>
          </w:p>
        </w:tc>
        <w:tc>
          <w:tcPr>
            <w:tcW w:type="dxa" w:w="5227"/>
          </w:tcPr>
          <w:p>
            <w:r>
              <w:t>La Bible est un guide pour la vie et appelle à mettre son message en pratique.</w:t>
            </w:r>
          </w:p>
        </w:tc>
      </w:tr>
    </w:tbl>
    <w:p/>
    <w:p>
      <w:pPr>
        <w:keepNext/>
        <w:spacing w:before="100" w:after="60"/>
      </w:pPr>
      <w:r>
        <w:rPr>
          <w:b/>
          <w:color w:val="1F4E78"/>
          <w:sz w:val="26"/>
        </w:rPr>
        <w:t>Passages à lire</w:t>
      </w:r>
    </w:p>
    <w:p>
      <w:r>
        <w:t>Psaume 1  •  Psaume 22  •  2 Timothée 3</w:t>
      </w:r>
    </w:p>
    <w:p>
      <w:pPr>
        <w:keepNext/>
      </w:pPr>
      <w:r>
        <w:rPr>
          <w:b/>
          <w:color w:val="1F4E78"/>
        </w:rPr>
        <w:t>À APPRENDRE PAR CŒUR  •  2 TIMOTHÉE 3:16–17</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Toute Écriture est inspirée de Dieu et utile pour enseigner, pour convaincre, pour corriger, pour instruire dans la justice, afin que l’homme de Dieu soit accompli et propre à toute bonne œuvre. »</w:t>
            </w:r>
          </w:p>
          <w:p>
            <w:r>
              <w:rPr>
                <w:b/>
                <w:color w:val="666666"/>
                <w:sz w:val="18"/>
              </w:rPr>
              <w:t>2 Timothée 3:16–17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