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38"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50" w:before="0" w:line="238" w:lineRule="auto"/>
        <w:jc w:val="right"/>
        <w:bidi w:val="1"/>
      </w:pPr>
      <w:r>
        <w:rPr>
          <w:rFonts w:ascii="Noto Naskh Arabic" w:hAnsi="Noto Naskh Arabic" w:cs="Noto Naskh Arabic"/>
          <w:b/>
          <w:color w:val="1F4E79"/>
          <w:sz w:val="22"/>
          <w:rtl w:val="1"/>
        </w:rPr>
        <w:t>الدرس 10</w:t>
      </w:r>
    </w:p>
    <w:p>
      <w:pPr>
        <w:spacing w:after="50" w:before="0" w:line="238" w:lineRule="auto"/>
        <w:jc w:val="right"/>
        <w:bidi w:val="1"/>
      </w:pPr>
      <w:r>
        <w:rPr>
          <w:rFonts w:ascii="Noto Naskh Arabic" w:hAnsi="Noto Naskh Arabic" w:cs="Noto Naskh Arabic"/>
          <w:b/>
          <w:color w:val="1F4E79"/>
          <w:sz w:val="40"/>
          <w:rtl w:val="1"/>
        </w:rPr>
        <w:t>نظرة الله إلى التاريخ</w:t>
      </w:r>
    </w:p>
    <w:p>
      <w:pPr>
        <w:spacing w:after="50" w:before="0" w:line="238" w:lineRule="auto"/>
        <w:jc w:val="right"/>
        <w:bidi w:val="1"/>
      </w:pPr>
      <w:r>
        <w:rPr>
          <w:rFonts w:ascii="Noto Naskh Arabic" w:hAnsi="Noto Naskh Arabic" w:cs="Noto Naskh Arabic"/>
          <w:b/>
          <w:color w:val="404040"/>
          <w:sz w:val="21"/>
          <w:rtl w:val="1"/>
        </w:rPr>
        <w:t>القراءة  •  دانيال 2</w:t>
      </w:r>
    </w:p>
    <w:p>
      <w:pPr>
        <w:spacing w:after="50" w:before="60" w:line="238" w:lineRule="auto"/>
        <w:jc w:val="right"/>
        <w:keepNext/>
        <w:keepLines/>
        <w:bidi w:val="1"/>
      </w:pPr>
      <w:r>
        <w:rPr>
          <w:rFonts w:ascii="Noto Naskh Arabic" w:hAnsi="Noto Naskh Arabic" w:cs="Noto Naskh Arabic"/>
          <w:b/>
          <w:color w:val="1F4E79"/>
          <w:sz w:val="29"/>
          <w:rtl w:val="1"/>
        </w:rPr>
        <w:t>التاريخ من وجهة نظر الله</w:t>
      </w:r>
    </w:p>
    <w:p>
      <w:pPr>
        <w:spacing w:after="50" w:before="0" w:line="238" w:lineRule="auto"/>
        <w:jc w:val="right"/>
        <w:bidi w:val="1"/>
      </w:pPr>
      <w:r>
        <w:rPr>
          <w:rFonts w:ascii="Noto Naskh Arabic" w:hAnsi="Noto Naskh Arabic" w:cs="Noto Naskh Arabic"/>
          <w:b w:val="0"/>
          <w:sz w:val="22"/>
          <w:rtl w:val="1"/>
        </w:rPr>
        <w:t>يقيس التاريخ البشري الأهمية كثيراً بالقوة والثروة والإمبراطوريات. أما الكتاب المقدس فينظر إلى التاريخ بصورة مختلفة. فهو يتتبع مقصد الله، وبخاصة معاملاته مع إسرائيل، ويبين كيف يتجه ذلك المقصد إلى مملكة الله على الأرض.</w:t>
      </w:r>
    </w:p>
    <w:p>
      <w:pPr>
        <w:spacing w:after="50" w:before="60" w:line="238" w:lineRule="auto"/>
        <w:jc w:val="right"/>
        <w:keepNext/>
        <w:keepLines/>
        <w:bidi w:val="1"/>
      </w:pPr>
      <w:r>
        <w:rPr>
          <w:rFonts w:ascii="Noto Naskh Arabic" w:hAnsi="Noto Naskh Arabic" w:cs="Noto Naskh Arabic"/>
          <w:b/>
          <w:color w:val="1F4E79"/>
          <w:sz w:val="29"/>
          <w:rtl w:val="1"/>
        </w:rPr>
        <w:t>لتاريخ الكتاب المقدس مقصد</w:t>
      </w:r>
    </w:p>
    <w:p>
      <w:pPr>
        <w:spacing w:after="50" w:before="0" w:line="238" w:lineRule="auto"/>
        <w:jc w:val="right"/>
        <w:bidi w:val="1"/>
      </w:pPr>
      <w:r>
        <w:rPr>
          <w:rFonts w:ascii="Noto Naskh Arabic" w:hAnsi="Noto Naskh Arabic" w:cs="Noto Naskh Arabic"/>
          <w:b w:val="0"/>
          <w:sz w:val="22"/>
          <w:rtl w:val="1"/>
        </w:rPr>
        <w:t>الكتاب المقدس ليس تاريخاً كاملاً لكل أمة. بل يختار أشخاصاً وأحداثاً تساعدنا على فهم مقصد الله مع الرجال والنساء. ولإسرائيل مكانة مركزية في هذا السجل، لكن الرجاء المعروض بيسوع المسيح يمتد إلى أشخاص من كل أمة.</w:t>
      </w:r>
    </w:p>
    <w:p>
      <w:pPr>
        <w:spacing w:after="50" w:before="0" w:line="238" w:lineRule="auto"/>
        <w:jc w:val="right"/>
        <w:bidi w:val="1"/>
      </w:pPr>
      <w:r>
        <w:rPr>
          <w:rFonts w:ascii="Noto Naskh Arabic" w:hAnsi="Noto Naskh Arabic" w:cs="Noto Naskh Arabic"/>
          <w:b w:val="0"/>
          <w:sz w:val="22"/>
          <w:rtl w:val="1"/>
        </w:rPr>
        <w:t>يقدّم أعمال الرسل 7 مثالاً واضحاً: يستعرض استفانوس تاريخ إبراهيم ويوسف وموسى وإسرائيل ليشرح مقصد الله المستمر. ويمكن رؤية النمط نفسه في الكتاب كله.</w:t>
      </w:r>
    </w:p>
    <w:p>
      <w:pPr>
        <w:spacing w:after="50" w:before="60" w:line="238" w:lineRule="auto"/>
        <w:jc w:val="right"/>
        <w:keepNext/>
        <w:keepLines/>
        <w:bidi w:val="1"/>
      </w:pPr>
      <w:r>
        <w:rPr>
          <w:rFonts w:ascii="Noto Naskh Arabic" w:hAnsi="Noto Naskh Arabic" w:cs="Noto Naskh Arabic"/>
          <w:b/>
          <w:color w:val="1F4E79"/>
          <w:sz w:val="29"/>
          <w:rtl w:val="1"/>
        </w:rPr>
        <w:t>من آدم إلى موسى</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الشخص</w:t>
            </w:r>
          </w:p>
        </w:tc>
        <w:tc>
          <w:tcPr>
            <w:tcW w:type="dxa" w:w="4975"/>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مكانه في قصة الكتاب</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آدم</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الإنسان الأول. خلقه الله حسناً جداً، لكنه عصى الله، فدخلت الخطية والموت إلى خبرة البشر (التكوين 1–3).</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نوح</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في عصر عنيف وفاسد آمن نوح بالله وأطاعه. وحفظ الله نوحاً وعائلته من الطوفان (التكوين 6–9).</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إبراهيم</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دُعي «خليل الله». ترك أور بأمر الله وتلقى وعوداً عن نسل وأرض وبركة (التكوين 12).</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إسحاق</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الابن الموعود لإبراهيم، وُلد عندما كان إبراهيم وسارة قد تجاوزا العمر المعتاد للإنجاب (التكوين 21).</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يعقوب</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ابن إسحاق. أعطاه الله اسم إسرائيل، وصار أبناؤه الاثنا عشر آباء أسباط إسرائيل.</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يوسف</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باعه إخوته إلى مصر، لكن الله كان معه ورفعه إلى سلطان عظيم. ثم جاء يعقوب وعائلته إلى مصر (التكوين 37–50).</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موسى</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وُلد لأبوين إسرائيليين وتربى في بيت فرعون. استخدمه الله لإخراج إسرائيل من مصر وقيادتهم نحو الأرض الموعودة.</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الله وإسرائيل وعبادة الأصنام</w:t>
      </w:r>
    </w:p>
    <w:p>
      <w:pPr>
        <w:spacing w:after="50" w:before="0" w:line="238" w:lineRule="auto"/>
        <w:jc w:val="right"/>
        <w:bidi w:val="1"/>
      </w:pPr>
      <w:r>
        <w:rPr>
          <w:rFonts w:ascii="Noto Naskh Arabic" w:hAnsi="Noto Naskh Arabic" w:cs="Noto Naskh Arabic"/>
          <w:b w:val="0"/>
          <w:sz w:val="22"/>
          <w:rtl w:val="1"/>
        </w:rPr>
        <w:t>أعطى الله إسرائيل شرائع حكيمة ودعا الشعب إلى عبادته وحده، لكنهم انحرفوا مراراً إلى الأصنام. والصنم هو أي شيء يُعطى المكان الذي يخص الله الحقيقي. وفي أزمنة الكتاب عبد الناس صوراً منحوتة وأجراماً سماوية ومخلوقات أخرى، وهي لا تسمع ولا تخلّص.</w:t>
      </w:r>
    </w:p>
    <w:p>
      <w:pPr>
        <w:spacing w:after="50" w:before="60" w:line="238" w:lineRule="auto"/>
        <w:jc w:val="right"/>
        <w:keepNext/>
        <w:keepLines/>
        <w:bidi w:val="1"/>
      </w:pPr>
      <w:r>
        <w:rPr>
          <w:rFonts w:ascii="Noto Naskh Arabic" w:hAnsi="Noto Naskh Arabic" w:cs="Noto Naskh Arabic"/>
          <w:b/>
          <w:color w:val="1F4E79"/>
          <w:sz w:val="24"/>
          <w:rtl w:val="1"/>
        </w:rPr>
        <w:t>درس لكل عصر</w:t>
      </w:r>
    </w:p>
    <w:p>
      <w:pPr>
        <w:spacing w:after="50" w:before="0" w:line="238" w:lineRule="auto"/>
        <w:jc w:val="right"/>
        <w:bidi w:val="1"/>
      </w:pPr>
      <w:r>
        <w:rPr>
          <w:rFonts w:ascii="Noto Naskh Arabic" w:hAnsi="Noto Naskh Arabic" w:cs="Noto Naskh Arabic"/>
          <w:b w:val="0"/>
          <w:sz w:val="22"/>
          <w:rtl w:val="1"/>
        </w:rPr>
        <w:t>عبادة الأصنام لا تقتصر على التماثيل. كل ما يصبح أهم عندنا من الله يمكن أن يحتل موضع الصنم في القلب. لذلك يحذرنا تاريخ إسرائيل كما يعلّمنا.</w:t>
      </w:r>
    </w:p>
    <w:p>
      <w:pPr>
        <w:spacing w:after="50" w:before="60" w:line="238" w:lineRule="auto"/>
        <w:jc w:val="right"/>
        <w:keepNext/>
        <w:keepLines/>
        <w:bidi w:val="1"/>
      </w:pPr>
      <w:r>
        <w:rPr>
          <w:rFonts w:ascii="Noto Naskh Arabic" w:hAnsi="Noto Naskh Arabic" w:cs="Noto Naskh Arabic"/>
          <w:b/>
          <w:color w:val="1F4E79"/>
          <w:sz w:val="29"/>
          <w:rtl w:val="1"/>
        </w:rPr>
        <w:t>يشوع والقضاة والملوك</w:t>
      </w:r>
    </w:p>
    <w:p>
      <w:pPr>
        <w:spacing w:after="50" w:before="0" w:line="238" w:lineRule="auto"/>
        <w:jc w:val="right"/>
        <w:bidi w:val="1"/>
      </w:pPr>
      <w:r>
        <w:rPr>
          <w:rFonts w:ascii="Noto Naskh Arabic" w:hAnsi="Noto Naskh Arabic" w:cs="Noto Naskh Arabic"/>
          <w:b w:val="0"/>
          <w:sz w:val="22"/>
          <w:rtl w:val="1"/>
        </w:rPr>
        <w:t>بعد أربعين سنة في البرية دخل إسرائيل أرض كنعان بقيادة يشوع. وفي عصر القضاة تكرر نمط: يبتعد الشعب عن الله، فيعانون النتائج، ثم يصرخون إليه فيخلّصهم. كان الله ملكهم الحقيقي، لكنهم طلبوا في النهاية ملكاً بشرياً مثل الأمم المحيطة.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الفترة</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الشخصيات الرئيسية</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ما حدث</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الدخول إلى كنعان</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يشوع</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قاد يشوع إسرائيل إلى الأرض التي وعد الله بها إبراهيم وإسحاق ويعقوب.</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عصر القضاة</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قضاة إسرائيل</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أظهرت دورات العصيان والاضطهاد والتوبة والخلاص الحاجة إلى الطاعة الأمينة لله.</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المملكة المتحدة</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شاول، داود، سليمان</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كان شاول أول ملك. وأصبح داود نموذجاً للملك الساعي إلى الله ونال وعوداً تتم في المسيح. ثم خلفه سليمان.</w:t>
            </w:r>
          </w:p>
        </w:tc>
      </w:tr>
    </w:tbl>
    <w:p>
      <w:pPr>
        <w:spacing w:after="0" w:before="0" w:line="238"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«ثم جلس سليمان على كرسي الرب ملكاً مكان داود أبيه ونجح، وأطاعه كل إسرائيل.»</w:t>
            </w:r>
          </w:p>
          <w:p>
            <w:pPr>
              <w:spacing w:after="0" w:before="0" w:line="226" w:lineRule="auto"/>
              <w:jc w:val="right"/>
              <w:bidi w:val="1"/>
            </w:pPr>
            <w:r>
              <w:rPr>
                <w:rFonts w:ascii="Noto Naskh Arabic" w:hAnsi="Noto Naskh Arabic" w:cs="Noto Naskh Arabic"/>
                <w:b/>
                <w:color w:val="404040"/>
                <w:sz w:val="20"/>
                <w:rtl w:val="1"/>
              </w:rPr>
              <w:t>1 أخبار الأيام 29:23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مملكة منقسمة وسبي</w:t>
      </w:r>
    </w:p>
    <w:p>
      <w:pPr>
        <w:spacing w:after="50" w:before="0" w:line="238" w:lineRule="auto"/>
        <w:jc w:val="right"/>
        <w:bidi w:val="1"/>
      </w:pPr>
      <w:r>
        <w:rPr>
          <w:rFonts w:ascii="Noto Naskh Arabic" w:hAnsi="Noto Naskh Arabic" w:cs="Noto Naskh Arabic"/>
          <w:b w:val="0"/>
          <w:sz w:val="22"/>
          <w:rtl w:val="1"/>
        </w:rPr>
        <w:t>بعد سليمان انقسمت المملكة. احتفظت المملكة الشمالية باسم إسرائيل، ودُعيت الجنوبية يهوذا. وانحرفت كلتاهما عن الله مراراً.</w:t>
      </w:r>
    </w:p>
    <w:p>
      <w:pPr>
        <w:spacing w:after="50" w:before="0" w:line="238" w:lineRule="auto"/>
        <w:jc w:val="right"/>
        <w:bidi w:val="1"/>
      </w:pPr>
      <w:r>
        <w:rPr>
          <w:rFonts w:ascii="Noto Naskh Arabic" w:hAnsi="Noto Naskh Arabic" w:cs="Noto Naskh Arabic"/>
          <w:b w:val="0"/>
          <w:sz w:val="22"/>
          <w:rtl w:val="1"/>
        </w:rPr>
        <w:t>غزت الإمبراطورية الأشورية المملكة الشمالية ورحّلت كثيراً من سكانها، ولم تعد بعد ذلك مملكة شمالية مستقلة كما كانت. ثم غزت بابل يهوذا وأخذت كثيرين إلى السبي. وبعد نحو سبعين سنة سُمح لجماعات من يهوذا بالعودة وإعادة بناء أورشليم والهيكل.</w:t>
      </w:r>
    </w:p>
    <w:p>
      <w:pPr>
        <w:spacing w:after="50" w:before="0" w:line="238" w:lineRule="auto"/>
        <w:jc w:val="right"/>
        <w:bidi w:val="1"/>
      </w:pPr>
      <w:r>
        <w:rPr>
          <w:rFonts w:ascii="Noto Naskh Arabic" w:hAnsi="Noto Naskh Arabic" w:cs="Noto Naskh Arabic"/>
          <w:b w:val="0"/>
          <w:sz w:val="22"/>
          <w:rtl w:val="1"/>
        </w:rPr>
        <w:t>هذا التاريخ مهم لأن الوعود والسلالة الملكية لداود ورجاء مملكة الله تستمر في السجل الكتابي حتى حين تقوم الممالك البشرية وتسقط.</w:t>
      </w:r>
    </w:p>
    <w:p>
      <w:pPr>
        <w:spacing w:after="50" w:before="60" w:line="238" w:lineRule="auto"/>
        <w:jc w:val="right"/>
        <w:keepNext/>
        <w:keepLines/>
        <w:bidi w:val="1"/>
      </w:pPr>
      <w:r>
        <w:rPr>
          <w:rFonts w:ascii="Noto Naskh Arabic" w:hAnsi="Noto Naskh Arabic" w:cs="Noto Naskh Arabic"/>
          <w:b/>
          <w:color w:val="1F4E79"/>
          <w:sz w:val="29"/>
          <w:rtl w:val="1"/>
        </w:rPr>
        <w:t>العهد الجديد</w:t>
      </w:r>
    </w:p>
    <w:p>
      <w:pPr>
        <w:spacing w:after="50" w:before="0" w:line="238" w:lineRule="auto"/>
        <w:jc w:val="right"/>
        <w:bidi w:val="1"/>
      </w:pPr>
      <w:r>
        <w:rPr>
          <w:rFonts w:ascii="Noto Naskh Arabic" w:hAnsi="Noto Naskh Arabic" w:cs="Noto Naskh Arabic"/>
          <w:b w:val="0"/>
          <w:sz w:val="22"/>
          <w:rtl w:val="1"/>
        </w:rPr>
        <w:t>بعد قرون من نهاية فترة العهد القديم أرسل الله ابنه الرب يسوع المسيح. ويخبر العهد الجديد عن حياة يسوع وموته وقيامته وتكوين الإكليسيات الأولى، ثم امتد الإنجيل من اليهودية إلى أناس من أمم كثيرة.</w:t>
      </w:r>
    </w:p>
    <w:p>
      <w:pPr>
        <w:spacing w:after="50" w:before="60" w:line="238" w:lineRule="auto"/>
        <w:jc w:val="right"/>
        <w:keepNext/>
        <w:keepLines/>
        <w:bidi w:val="1"/>
      </w:pPr>
      <w:r>
        <w:rPr>
          <w:rFonts w:ascii="Noto Naskh Arabic" w:hAnsi="Noto Naskh Arabic" w:cs="Noto Naskh Arabic"/>
          <w:b/>
          <w:color w:val="1F4E79"/>
          <w:sz w:val="24"/>
          <w:rtl w:val="1"/>
        </w:rPr>
        <w:t>مقصد واحد مستمر</w:t>
      </w:r>
    </w:p>
    <w:p>
      <w:pPr>
        <w:spacing w:after="50" w:before="0" w:line="238" w:lineRule="auto"/>
        <w:jc w:val="right"/>
        <w:bidi w:val="1"/>
      </w:pPr>
      <w:r>
        <w:rPr>
          <w:rFonts w:ascii="Noto Naskh Arabic" w:hAnsi="Noto Naskh Arabic" w:cs="Noto Naskh Arabic"/>
          <w:b w:val="0"/>
          <w:sz w:val="22"/>
          <w:rtl w:val="1"/>
        </w:rPr>
        <w:t>قصة الكتاب المقدس لا تنقسم إلى عهد قديم وعهد جديد غير مترابطين. وعود العهد القديم وتاريخه تهيئ الطريق للمسيح، والعهد الجديد يشرح كيف يصل ذلك المقصد إلى إتمامه فيه.</w:t>
      </w:r>
    </w:p>
    <w:p>
      <w:pPr>
        <w:spacing w:after="50" w:before="60" w:line="238" w:lineRule="auto"/>
        <w:jc w:val="right"/>
        <w:keepNext/>
        <w:keepLines/>
        <w:bidi w:val="1"/>
      </w:pPr>
      <w:r>
        <w:rPr>
          <w:rFonts w:ascii="Noto Naskh Arabic" w:hAnsi="Noto Naskh Arabic" w:cs="Noto Naskh Arabic"/>
          <w:b/>
          <w:color w:val="1F4E79"/>
          <w:sz w:val="29"/>
          <w:rtl w:val="1"/>
        </w:rPr>
        <w:t>حلم نبوخذنصر</w:t>
      </w:r>
    </w:p>
    <w:p>
      <w:pPr>
        <w:spacing w:after="50" w:before="0" w:line="238" w:lineRule="auto"/>
        <w:jc w:val="right"/>
        <w:bidi w:val="1"/>
      </w:pPr>
      <w:r>
        <w:rPr>
          <w:rFonts w:ascii="Noto Naskh Arabic" w:hAnsi="Noto Naskh Arabic" w:cs="Noto Naskh Arabic"/>
          <w:b w:val="0"/>
          <w:sz w:val="22"/>
          <w:rtl w:val="1"/>
        </w:rPr>
        <w:t>يعطي دانيال 2 رؤية مختلفة جداً للتاريخ. حلم نبوخذنصر ملك بابل بتمثال عظيم. وكشف الله لدانيال الحلم ومعناه. مثّل التمثال سلسلة من الممالك، ثم تأتي في النهاية مملكة يقيمها الله.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«أنت هذا الرأس من ذهب.»</w:t>
            </w:r>
          </w:p>
          <w:p>
            <w:pPr>
              <w:spacing w:after="0" w:before="0" w:line="226" w:lineRule="auto"/>
              <w:jc w:val="right"/>
              <w:bidi w:val="1"/>
            </w:pPr>
            <w:r>
              <w:rPr>
                <w:rFonts w:ascii="Noto Naskh Arabic" w:hAnsi="Noto Naskh Arabic" w:cs="Noto Naskh Arabic"/>
                <w:b/>
                <w:color w:val="404040"/>
                <w:sz w:val="20"/>
                <w:rtl w:val="1"/>
              </w:rPr>
              <w:t>دانيال 2:38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يعرّف دانيال صراحة مملكة نبوخذنصر البابلية بالرأس الذهبي. ثم يتحدث عن مملكة ثانية وثالثة من نحاس ورابعة قوية كالحديد. وفي التفسير التقليدي الذي تتبعه هذه الدورة تُفهم هذه الإمبراطوريات على أنها مادي وفارس، واليونان، وروما.</w:t>
      </w:r>
    </w:p>
    <w:p>
      <w:pPr>
        <w:spacing w:after="50" w:before="60" w:line="238" w:lineRule="auto"/>
        <w:jc w:val="right"/>
        <w:keepNext/>
        <w:keepLines/>
        <w:bidi w:val="1"/>
      </w:pPr>
      <w:r>
        <w:rPr>
          <w:rFonts w:ascii="Noto Naskh Arabic" w:hAnsi="Noto Naskh Arabic" w:cs="Noto Naskh Arabic"/>
          <w:b/>
          <w:color w:val="1F4E79"/>
          <w:sz w:val="29"/>
          <w:rtl w:val="1"/>
        </w:rPr>
        <w:t>تمثال دانيال 2</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جزء التمثال</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المملكة / الفترة</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الدلالة</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رأس الذهب</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بابل</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يحدد دانيال نبوخذنصر ومملكته بالرأس من ذهب (دانيال 2:37–38).</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الصدر والذراعان من فضة</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مادي وفارس</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تحدد الدورة المملكة الثانية بالإمبراطورية المادية الفارسية؛ ويذكر دانيال مادي وفارس بالاسم لاحقاً.</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البطن والفخذان من نحاس</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اليونان</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تحدد المملكة الثالثة باليونان؛ ويسمي دانيال 8 اليونان صراحة في رؤيا لاحقة.</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الساقان من حديد</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روما</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تُفهم المملكة الرابعة الشديدة القوة تقليدياً على أنها روما.</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القدمان: حديد وخزف</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نظام سياسي منقسم</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المزيج قوي جزئياً وهش جزئياً ولا يصير قوة واحدة دائمة موحدة.</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الحجر ومملكة الله</w:t>
      </w:r>
    </w:p>
    <w:p>
      <w:pPr>
        <w:spacing w:after="50" w:before="0" w:line="238" w:lineRule="auto"/>
        <w:jc w:val="right"/>
        <w:bidi w:val="1"/>
      </w:pPr>
      <w:r>
        <w:rPr>
          <w:rFonts w:ascii="Noto Naskh Arabic" w:hAnsi="Noto Naskh Arabic" w:cs="Noto Naskh Arabic"/>
          <w:b w:val="0"/>
          <w:sz w:val="22"/>
          <w:rtl w:val="1"/>
        </w:rPr>
        <w:t>ثم رأى نبوخذنصر حجراً «قُطع بغير يدين». ضرب التمثال فتحطم، وصار الحجر جبلاً عظيماً ملأ الأرض كلها. والتأكيد أن المملكة الأخيرة لا تنتج من قوة بشرية عادية، بل يقيمها الله.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«كنت تنظر إلى أن قُطع حجر بغير يدين، فضرب التمثال على قدميه اللتين من حديد وخزف فسحقهما.»</w:t>
            </w:r>
          </w:p>
          <w:p>
            <w:pPr>
              <w:spacing w:after="0" w:before="0" w:line="226" w:lineRule="auto"/>
              <w:jc w:val="right"/>
              <w:bidi w:val="1"/>
            </w:pPr>
            <w:r>
              <w:rPr>
                <w:rFonts w:ascii="Noto Naskh Arabic" w:hAnsi="Noto Naskh Arabic" w:cs="Noto Naskh Arabic"/>
                <w:b/>
                <w:color w:val="404040"/>
                <w:sz w:val="20"/>
                <w:rtl w:val="1"/>
              </w:rPr>
              <w:t>دانيال 2:34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تفهم هذه الدورة الحجر على أنه يشير إلى الرب يسوع المسيح ومملكة الله التي ستُقام بواسطته عند عودته. الممالك البشرية مؤقتة، أما مملكة الله فتبقى.</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«وفي أيام هؤلاء الملوك يقيم إله السماوات مملكة لن تنقرض أبداً.»</w:t>
            </w:r>
          </w:p>
          <w:p>
            <w:pPr>
              <w:spacing w:after="0" w:before="0" w:line="226" w:lineRule="auto"/>
              <w:jc w:val="right"/>
              <w:bidi w:val="1"/>
            </w:pPr>
            <w:r>
              <w:rPr>
                <w:rFonts w:ascii="Noto Naskh Arabic" w:hAnsi="Noto Naskh Arabic" w:cs="Noto Naskh Arabic"/>
                <w:b/>
                <w:color w:val="404040"/>
                <w:sz w:val="20"/>
                <w:rtl w:val="1"/>
              </w:rPr>
              <w:t>دانيال 2:44 (مقتطف)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لماذا هذه النبوة مهمة؟</w:t>
      </w:r>
    </w:p>
    <w:p>
      <w:pPr>
        <w:spacing w:after="50" w:before="0" w:line="238" w:lineRule="auto"/>
        <w:jc w:val="right"/>
        <w:bidi w:val="1"/>
      </w:pPr>
      <w:r>
        <w:rPr>
          <w:rFonts w:ascii="Noto Naskh Arabic" w:hAnsi="Noto Naskh Arabic" w:cs="Noto Naskh Arabic"/>
          <w:b w:val="0"/>
          <w:sz w:val="22"/>
          <w:rtl w:val="1"/>
        </w:rPr>
        <w:t>درس دانيال 2 أكبر من مجرد قائمة إمبراطوريات. إنه يعلّم أن الله يعرف مسار التاريخ وأن القوة البشرية لا تدوم إلى الأبد. يبدأ التمثال بعظمة بابل وينتهي بالمملكة التي يقيمها الله نفسه.</w:t>
      </w:r>
    </w:p>
    <w:p>
      <w:pPr>
        <w:spacing w:after="50" w:before="0" w:line="238" w:lineRule="auto"/>
        <w:jc w:val="right"/>
        <w:bidi w:val="1"/>
      </w:pPr>
      <w:r>
        <w:rPr>
          <w:rFonts w:ascii="Noto Naskh Arabic" w:hAnsi="Noto Naskh Arabic" w:cs="Noto Naskh Arabic"/>
          <w:b w:val="0"/>
          <w:sz w:val="22"/>
          <w:rtl w:val="1"/>
        </w:rPr>
        <w:t>جزء كبير من التسلسل في الرؤيا أصبح من الماضي. أما الوعد الأخير فما زال يوجّه أنظارنا إلى المستقبل: ستحل مملكة الله محل حكم البشر وتملأ الأرض. وهذا هو الرجاء نفسه الذي يتطور في الكتاب كله ويتمركز في عودة الرب يسوع المسيح.</w:t>
      </w:r>
    </w:p>
    <w:p>
      <w:pPr>
        <w:spacing w:after="50" w:before="60" w:line="238" w:lineRule="auto"/>
        <w:jc w:val="right"/>
        <w:keepNext/>
        <w:keepLines/>
        <w:bidi w:val="1"/>
      </w:pPr>
      <w:r>
        <w:rPr>
          <w:rFonts w:ascii="Noto Naskh Arabic" w:hAnsi="Noto Naskh Arabic" w:cs="Noto Naskh Arabic"/>
          <w:b/>
          <w:color w:val="1F4E79"/>
          <w:sz w:val="29"/>
          <w:rtl w:val="1"/>
        </w:rPr>
        <w:t>الخلاصة — مقصد الله عبر التاريخ</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رقم</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النقطة</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المعنى</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1</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يعطي الكتاب للتاريخ مقصداً</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يركز على الأشخاص والأحداث التي تكشف مقصد الله، خاصة معاملاته مع إسرائيل والوعود التي تقود إلى المسيح.</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2</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تاريخ إسرائيل يعلم دروساً روحية</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من آدم ونوح وإبراهيم إلى موسى ويشوع والقضاة والملوك يبين الكتاب نتائج الإيمان والطاعة والعصيان.</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3</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الممالك البشرية تقوم وتسقط</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انقسمت مملكة إسرائيل نفسها وسقطت، لكن وعود الله لم تُلغ.</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4</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العهدان ينتميان معاً</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العهد القديم يهيئ للمسيح، والعهد الجديد يبين الإنجيل يُكرز به للناس من كل الأمم.</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5</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يعرض دانيال 2 سلسلة من الممالك</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تفهم الدورة التمثال على أنه بابل، مادي وفارس، اليونان، روما، ثم النظام المنقسم من الحديد والخزف.</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6</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مملكة الله هي الذروة</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الحجر «بغير يدين» يمثل مملكة يقيمها الله لا القوة البشرية، وتمتلئ بها الأرض.</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7</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النبوة تعطينا الرجاء</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الإمبراطوريات البشرية مؤقتة، لكن مملكة الله الموعودة لا تنقرض أبداً.</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4"/>
          <w:rtl w:val="1"/>
        </w:rPr>
        <w:t>أصحاح للقراءة</w:t>
      </w:r>
    </w:p>
    <w:p>
      <w:pPr>
        <w:spacing w:after="50" w:before="0" w:line="238" w:lineRule="auto"/>
        <w:jc w:val="right"/>
        <w:bidi w:val="1"/>
      </w:pPr>
      <w:r>
        <w:rPr>
          <w:rFonts w:ascii="Noto Naskh Arabic" w:hAnsi="Noto Naskh Arabic" w:cs="Noto Naskh Arabic"/>
          <w:b w:val="0"/>
          <w:sz w:val="22"/>
          <w:rtl w:val="1"/>
        </w:rPr>
        <w:t>أعمال الرسل 7</w:t>
      </w:r>
    </w:p>
    <w:p>
      <w:pPr>
        <w:spacing w:after="50" w:before="60" w:line="238" w:lineRule="auto"/>
        <w:jc w:val="right"/>
        <w:keepNext/>
        <w:keepLines/>
        <w:bidi w:val="1"/>
      </w:pPr>
      <w:r>
        <w:rPr>
          <w:rFonts w:ascii="Noto Naskh Arabic" w:hAnsi="Noto Naskh Arabic" w:cs="Noto Naskh Arabic"/>
          <w:b/>
          <w:color w:val="1F4E79"/>
          <w:sz w:val="29"/>
          <w:rtl w:val="1"/>
        </w:rPr>
        <w:t>للحفظ  •  دانيال 2:44</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«وفي أيام هؤلاء الملوك يقيم إله السماوات مملكة لن تنقرض أبداً، وملكها لا يُترك لشعب آخر، وتسحق وتفني كل هذه الممالك وهي تثبت إلى الأبد.»</w:t>
            </w:r>
          </w:p>
          <w:p>
            <w:pPr>
              <w:spacing w:after="0" w:before="0" w:line="226" w:lineRule="auto"/>
              <w:jc w:val="right"/>
              <w:bidi w:val="1"/>
            </w:pPr>
            <w:r>
              <w:rPr>
                <w:rFonts w:ascii="Noto Naskh Arabic" w:hAnsi="Noto Naskh Arabic" w:cs="Noto Naskh Arabic"/>
                <w:b/>
                <w:color w:val="404040"/>
                <w:sz w:val="20"/>
                <w:rtl w:val="1"/>
              </w:rPr>
              <w:t>دانيال 2:44  •  نسخة الملك جيمس</w:t>
            </w:r>
          </w:p>
        </w:tc>
      </w:tr>
    </w:tbl>
    <w:sectPr w:rsidR="00FC693F" w:rsidRPr="0006063C" w:rsidSect="00034616">
      <w:footerReference w:type="default" r:id="rId9"/>
      <w:pgSz w:w="11909" w:h="16834"/>
      <w:pgMar w:top="835" w:right="979" w:bottom="864"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