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38"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50" w:before="0" w:line="238" w:lineRule="auto"/>
        <w:jc w:val="right"/>
        <w:bidi w:val="1"/>
      </w:pPr>
      <w:r>
        <w:rPr>
          <w:rFonts w:ascii="Noto Naskh Arabic" w:hAnsi="Noto Naskh Arabic" w:cs="Noto Naskh Arabic"/>
          <w:b/>
          <w:color w:val="1F4E79"/>
          <w:sz w:val="22"/>
          <w:rtl w:val="1"/>
        </w:rPr>
        <w:t>الدرس 12</w:t>
      </w:r>
    </w:p>
    <w:p>
      <w:pPr>
        <w:spacing w:after="50" w:before="0" w:line="238" w:lineRule="auto"/>
        <w:jc w:val="right"/>
        <w:bidi w:val="1"/>
      </w:pPr>
      <w:r>
        <w:rPr>
          <w:rFonts w:ascii="Noto Naskh Arabic" w:hAnsi="Noto Naskh Arabic" w:cs="Noto Naskh Arabic"/>
          <w:b/>
          <w:color w:val="1F4E79"/>
          <w:sz w:val="40"/>
          <w:rtl w:val="1"/>
        </w:rPr>
        <w:t>وعود الله لإبراهيم</w:t>
      </w:r>
    </w:p>
    <w:p>
      <w:pPr>
        <w:spacing w:after="50" w:before="0" w:line="238" w:lineRule="auto"/>
        <w:jc w:val="right"/>
        <w:bidi w:val="1"/>
      </w:pPr>
      <w:r>
        <w:rPr>
          <w:rFonts w:ascii="Noto Naskh Arabic" w:hAnsi="Noto Naskh Arabic" w:cs="Noto Naskh Arabic"/>
          <w:b/>
          <w:color w:val="404040"/>
          <w:sz w:val="21"/>
          <w:rtl w:val="1"/>
        </w:rPr>
        <w:t>القراءة  •  التكوين 13</w:t>
      </w:r>
    </w:p>
    <w:p>
      <w:pPr>
        <w:spacing w:after="50" w:before="60" w:line="238" w:lineRule="auto"/>
        <w:jc w:val="right"/>
        <w:keepNext/>
        <w:keepLines/>
        <w:bidi w:val="1"/>
      </w:pPr>
      <w:r>
        <w:rPr>
          <w:rFonts w:ascii="Noto Naskh Arabic" w:hAnsi="Noto Naskh Arabic" w:cs="Noto Naskh Arabic"/>
          <w:b/>
          <w:color w:val="1F4E79"/>
          <w:sz w:val="29"/>
          <w:rtl w:val="1"/>
        </w:rPr>
        <w:t>رجل آمن بالله</w:t>
      </w:r>
    </w:p>
    <w:p>
      <w:pPr>
        <w:spacing w:after="50" w:before="0" w:line="238" w:lineRule="auto"/>
        <w:jc w:val="right"/>
        <w:bidi w:val="1"/>
      </w:pPr>
      <w:r>
        <w:rPr>
          <w:rFonts w:ascii="Noto Naskh Arabic" w:hAnsi="Noto Naskh Arabic" w:cs="Noto Naskh Arabic"/>
          <w:b w:val="0"/>
          <w:sz w:val="22"/>
          <w:rtl w:val="1"/>
        </w:rPr>
        <w:t>قبل ولادة يسوع بنحو ألفي سنة عاش أبرام في أور الكلدانيين، في المنطقة التي نسميها اليوم العراق. وتسمّي الأسفار إبراهيم خليل الله (إشعياء 41:8). عاش بين أناس يعبدون آلهة أخرى، لكن عندما دعاه الرب آمن وأطاع.</w:t>
      </w:r>
    </w:p>
    <w:p>
      <w:pPr>
        <w:spacing w:after="50" w:before="60" w:line="238" w:lineRule="auto"/>
        <w:jc w:val="right"/>
        <w:keepNext/>
        <w:keepLines/>
        <w:bidi w:val="1"/>
      </w:pPr>
      <w:r>
        <w:rPr>
          <w:rFonts w:ascii="Noto Naskh Arabic" w:hAnsi="Noto Naskh Arabic" w:cs="Noto Naskh Arabic"/>
          <w:b/>
          <w:color w:val="1F4E79"/>
          <w:sz w:val="29"/>
          <w:rtl w:val="1"/>
        </w:rPr>
        <w:t>رسالة من الله</w:t>
      </w:r>
    </w:p>
    <w:p>
      <w:pPr>
        <w:spacing w:after="50" w:before="0" w:line="238" w:lineRule="auto"/>
        <w:jc w:val="right"/>
        <w:bidi w:val="1"/>
      </w:pPr>
      <w:r>
        <w:rPr>
          <w:rFonts w:ascii="Noto Naskh Arabic" w:hAnsi="Noto Naskh Arabic" w:cs="Noto Naskh Arabic"/>
          <w:b w:val="0"/>
          <w:sz w:val="22"/>
          <w:rtl w:val="1"/>
        </w:rPr>
        <w:t>قال الله لأبرام أن يترك بلده وأقاربه وبيت أبيه ويسافر إلى أرض يريه الله إياها. كان الأمر يتطلب إيماناً، لأن أبرام طُلب منه أن يترك المألوف من غير أن يعرف وجهته بعد.</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«وقال الرب لأبرام: اذهب من أرضك ومن عشيرتك ومن بيت أبيك إلى الأرض التي أريك.»</w:t>
            </w:r>
          </w:p>
          <w:p>
            <w:pPr>
              <w:spacing w:after="0" w:before="0" w:line="226" w:lineRule="auto"/>
              <w:jc w:val="right"/>
              <w:bidi w:val="1"/>
            </w:pPr>
            <w:r>
              <w:rPr>
                <w:rFonts w:ascii="Noto Naskh Arabic" w:hAnsi="Noto Naskh Arabic" w:cs="Noto Naskh Arabic"/>
                <w:b/>
                <w:color w:val="404040"/>
                <w:sz w:val="20"/>
                <w:rtl w:val="1"/>
              </w:rPr>
              <w:t>التكوين 12:1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0" w:line="238" w:lineRule="auto"/>
        <w:jc w:val="right"/>
        <w:bidi w:val="1"/>
      </w:pPr>
      <w:r>
        <w:rPr>
          <w:rFonts w:ascii="Noto Naskh Arabic" w:hAnsi="Noto Naskh Arabic" w:cs="Noto Naskh Arabic"/>
          <w:b w:val="0"/>
          <w:sz w:val="22"/>
          <w:rtl w:val="1"/>
        </w:rPr>
        <w:t>وجاء الأمر مع وعود عظيمة: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«فأجعلك أمة عظيمة وأباركك وأعظم اسمك وتكون بركة. وأبارك مباركيك، ولاعنك ألعنه، وتتبارك فيك جميع قبائل الأرض.»</w:t>
            </w:r>
          </w:p>
          <w:p>
            <w:pPr>
              <w:spacing w:after="0" w:before="0" w:line="226" w:lineRule="auto"/>
              <w:jc w:val="right"/>
              <w:bidi w:val="1"/>
            </w:pPr>
            <w:r>
              <w:rPr>
                <w:rFonts w:ascii="Noto Naskh Arabic" w:hAnsi="Noto Naskh Arabic" w:cs="Noto Naskh Arabic"/>
                <w:b/>
                <w:color w:val="404040"/>
                <w:sz w:val="20"/>
                <w:rtl w:val="1"/>
              </w:rPr>
              <w:t>التكوين 12:2–3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0" w:line="238" w:lineRule="auto"/>
        <w:jc w:val="right"/>
        <w:bidi w:val="1"/>
      </w:pPr>
      <w:r>
        <w:rPr>
          <w:rFonts w:ascii="Noto Naskh Arabic" w:hAnsi="Noto Naskh Arabic" w:cs="Noto Naskh Arabic"/>
          <w:b w:val="0"/>
          <w:sz w:val="22"/>
          <w:rtl w:val="1"/>
        </w:rPr>
        <w:t>عمل أبرام بحسب ما قال الله. وتصف الرسالة إلى العبرانيين طبيعة إيمانه: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«بالإيمان إبراهيم لما دُعي أطاع أن يخرج إلى المكان الذي كان عتيداً أن يأخذه ميراثاً، فخرج وهو لا يعلم إلى أين يأتي.»</w:t>
            </w:r>
          </w:p>
          <w:p>
            <w:pPr>
              <w:spacing w:after="0" w:before="0" w:line="226" w:lineRule="auto"/>
              <w:jc w:val="right"/>
              <w:bidi w:val="1"/>
            </w:pPr>
            <w:r>
              <w:rPr>
                <w:rFonts w:ascii="Noto Naskh Arabic" w:hAnsi="Noto Naskh Arabic" w:cs="Noto Naskh Arabic"/>
                <w:b/>
                <w:color w:val="404040"/>
                <w:sz w:val="20"/>
                <w:rtl w:val="1"/>
              </w:rPr>
              <w:t>عبرانيين 11:8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أرض الموعد</w:t>
      </w:r>
    </w:p>
    <w:p>
      <w:pPr>
        <w:spacing w:after="50" w:before="0" w:line="238" w:lineRule="auto"/>
        <w:jc w:val="right"/>
        <w:bidi w:val="1"/>
      </w:pPr>
      <w:r>
        <w:rPr>
          <w:rFonts w:ascii="Noto Naskh Arabic" w:hAnsi="Noto Naskh Arabic" w:cs="Noto Naskh Arabic"/>
          <w:b w:val="0"/>
          <w:sz w:val="22"/>
          <w:rtl w:val="1"/>
        </w:rPr>
        <w:t>دخل أبرام في النهاية كنعان مع زوجته ساراي، التي سُمّيت لاحقاً سارة، ومع ابن أخيه لوط. وبعد انفصال أبرام ولوط وسّع الله الوعد وقال له إن الأرض التي يراها ستكون له ولنسله إلى الأبد.</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«لأن جميع الأرض التي أنت ترى لك أعطيها ولنسلك إلى الأبد. وأجعل نسلك كتراب الأرض.»</w:t>
            </w:r>
          </w:p>
          <w:p>
            <w:pPr>
              <w:spacing w:after="0" w:before="0" w:line="226" w:lineRule="auto"/>
              <w:jc w:val="right"/>
              <w:bidi w:val="1"/>
            </w:pPr>
            <w:r>
              <w:rPr>
                <w:rFonts w:ascii="Noto Naskh Arabic" w:hAnsi="Noto Naskh Arabic" w:cs="Noto Naskh Arabic"/>
                <w:b/>
                <w:color w:val="404040"/>
                <w:sz w:val="20"/>
                <w:rtl w:val="1"/>
              </w:rPr>
              <w:t>التكوين 13:15–16 (مقتطف)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4"/>
          <w:rtl w:val="1"/>
        </w:rPr>
        <w:t>ثلاثة موضوعات عظيمة</w:t>
      </w:r>
    </w:p>
    <w:p>
      <w:pPr>
        <w:spacing w:after="50" w:before="0" w:line="238" w:lineRule="auto"/>
        <w:jc w:val="right"/>
        <w:bidi w:val="1"/>
      </w:pPr>
      <w:r>
        <w:rPr>
          <w:rFonts w:ascii="Noto Naskh Arabic" w:hAnsi="Noto Naskh Arabic" w:cs="Noto Naskh Arabic"/>
          <w:b w:val="0"/>
          <w:sz w:val="22"/>
          <w:rtl w:val="1"/>
        </w:rPr>
        <w:t>تتضمن الوعود الآن أرضاً، ونسلاً أو ذرية كثيرة، وبركة تصل في النهاية إلى جميع قبائل الأرض.</w:t>
      </w:r>
    </w:p>
    <w:p>
      <w:pPr>
        <w:spacing w:after="50" w:before="60" w:line="238" w:lineRule="auto"/>
        <w:jc w:val="right"/>
        <w:keepNext/>
        <w:keepLines/>
        <w:bidi w:val="1"/>
      </w:pPr>
      <w:r>
        <w:rPr>
          <w:rFonts w:ascii="Noto Naskh Arabic" w:hAnsi="Noto Naskh Arabic" w:cs="Noto Naskh Arabic"/>
          <w:b/>
          <w:color w:val="1F4E79"/>
          <w:sz w:val="29"/>
          <w:rtl w:val="1"/>
        </w:rPr>
        <w:t>عهد لا يمكن أن يفشل</w:t>
      </w:r>
    </w:p>
    <w:p>
      <w:pPr>
        <w:spacing w:after="50" w:before="0" w:line="238" w:lineRule="auto"/>
        <w:jc w:val="right"/>
        <w:bidi w:val="1"/>
      </w:pPr>
      <w:r>
        <w:rPr>
          <w:rFonts w:ascii="Noto Naskh Arabic" w:hAnsi="Noto Naskh Arabic" w:cs="Noto Naskh Arabic"/>
          <w:b w:val="0"/>
          <w:sz w:val="22"/>
          <w:rtl w:val="1"/>
        </w:rPr>
        <w:t>مرت سنوات ولم يكن لأبرام ابن من سارة. وفي التكوين 15 طمأنه الله وأراه النجوم صورة للكثرة التي ستأتي منه. فوثق أبرام بكلمة الله.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«فآمن بالرب فحسبه له براً.»</w:t>
            </w:r>
          </w:p>
          <w:p>
            <w:pPr>
              <w:spacing w:after="0" w:before="0" w:line="226" w:lineRule="auto"/>
              <w:jc w:val="right"/>
              <w:bidi w:val="1"/>
            </w:pPr>
            <w:r>
              <w:rPr>
                <w:rFonts w:ascii="Noto Naskh Arabic" w:hAnsi="Noto Naskh Arabic" w:cs="Noto Naskh Arabic"/>
                <w:b/>
                <w:color w:val="404040"/>
                <w:sz w:val="20"/>
                <w:rtl w:val="1"/>
              </w:rPr>
              <w:t>التكوين 15:6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0" w:line="238" w:lineRule="auto"/>
        <w:jc w:val="right"/>
        <w:bidi w:val="1"/>
      </w:pPr>
      <w:r>
        <w:rPr>
          <w:rFonts w:ascii="Noto Naskh Arabic" w:hAnsi="Noto Naskh Arabic" w:cs="Noto Naskh Arabic"/>
          <w:b w:val="0"/>
          <w:sz w:val="22"/>
          <w:rtl w:val="1"/>
        </w:rPr>
        <w:t>ثم ثبّت الله وعده بعهد. وفي العالم القديم كانت الحيوانات المشقوقة تُستخدم أحياناً في مراسم عهد جدية. وفي التكوين 15 تمر رموز حضور الله بين القطع، مبيّنة أن تحقيق الوعد قائم على أمانة الله.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«في ذلك اليوم قطع الرب مع أبرام ميثاقاً قائلاً: لنسلك أعطي هذه الأرض.»</w:t>
            </w:r>
          </w:p>
          <w:p>
            <w:pPr>
              <w:spacing w:after="0" w:before="0" w:line="226" w:lineRule="auto"/>
              <w:jc w:val="right"/>
              <w:bidi w:val="1"/>
            </w:pPr>
            <w:r>
              <w:rPr>
                <w:rFonts w:ascii="Noto Naskh Arabic" w:hAnsi="Noto Naskh Arabic" w:cs="Noto Naskh Arabic"/>
                <w:b/>
                <w:color w:val="404040"/>
                <w:sz w:val="20"/>
                <w:rtl w:val="1"/>
              </w:rPr>
              <w:t>التكوين 15:18 (مقتطف)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4"/>
          <w:rtl w:val="1"/>
        </w:rPr>
        <w:t>ما هو العهد؟</w:t>
      </w:r>
    </w:p>
    <w:p>
      <w:pPr>
        <w:spacing w:after="50" w:before="0" w:line="238" w:lineRule="auto"/>
        <w:jc w:val="right"/>
        <w:bidi w:val="1"/>
      </w:pPr>
      <w:r>
        <w:rPr>
          <w:rFonts w:ascii="Noto Naskh Arabic" w:hAnsi="Noto Naskh Arabic" w:cs="Noto Naskh Arabic"/>
          <w:b w:val="0"/>
          <w:sz w:val="22"/>
          <w:rtl w:val="1"/>
        </w:rPr>
        <w:t>العهد وعد رسمي وملزم. وقد أكد الله وعوده لإبراهيم مراراً حتى لا يكون هناك شك في مقصده.</w:t>
      </w:r>
    </w:p>
    <w:p>
      <w:pPr>
        <w:spacing w:after="50" w:before="60" w:line="238" w:lineRule="auto"/>
        <w:jc w:val="right"/>
        <w:keepNext/>
        <w:keepLines/>
        <w:bidi w:val="1"/>
      </w:pPr>
      <w:r>
        <w:rPr>
          <w:rFonts w:ascii="Noto Naskh Arabic" w:hAnsi="Noto Naskh Arabic" w:cs="Noto Naskh Arabic"/>
          <w:b/>
          <w:color w:val="1F4E79"/>
          <w:sz w:val="29"/>
          <w:rtl w:val="1"/>
        </w:rPr>
        <w:t>الابن الموعود</w:t>
      </w:r>
    </w:p>
    <w:p>
      <w:pPr>
        <w:spacing w:after="50" w:before="0" w:line="238" w:lineRule="auto"/>
        <w:jc w:val="right"/>
        <w:bidi w:val="1"/>
      </w:pPr>
      <w:r>
        <w:rPr>
          <w:rFonts w:ascii="Noto Naskh Arabic" w:hAnsi="Noto Naskh Arabic" w:cs="Noto Naskh Arabic"/>
          <w:b w:val="0"/>
          <w:sz w:val="22"/>
          <w:rtl w:val="1"/>
        </w:rPr>
        <w:t>غيّر الله لاحقاً اسم أبرام إلى إبراهيم واسم ساراي إلى سارة. كان إبراهيم في المئة من عمره عندما وُلد إسحاق (التكوين 21:5)، وكانت سارة نحو التسعين. لذلك أظهرت ولادة إسحاق أن الله قادر على تحقيق ما يبدو مستحيلاً بشرياً.</w:t>
      </w:r>
    </w:p>
    <w:p>
      <w:pPr>
        <w:spacing w:after="50" w:before="0" w:line="238" w:lineRule="auto"/>
        <w:jc w:val="right"/>
        <w:bidi w:val="1"/>
      </w:pPr>
      <w:r>
        <w:rPr>
          <w:rFonts w:ascii="Noto Naskh Arabic" w:hAnsi="Noto Naskh Arabic" w:cs="Noto Naskh Arabic"/>
          <w:b w:val="0"/>
          <w:sz w:val="22"/>
          <w:rtl w:val="1"/>
        </w:rPr>
        <w:t>يسجل التكوين 22 اختباراً شديداً لإيمان إبراهيم. أمره الله أن يقدم إسحاق، الابن الموعود الذي كان خط العهد سيستمر من خلاله. وأطاع إبراهيم لأنه كان مقتنعاً بأن الله سيحفظ كلمته مهما حدث.</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«إذ حسب أن الله قادر على الإقامة من الأموات أيضاً، الذين منهم أخذه أيضاً في مثال.»</w:t>
            </w:r>
          </w:p>
          <w:p>
            <w:pPr>
              <w:spacing w:after="0" w:before="0" w:line="226" w:lineRule="auto"/>
              <w:jc w:val="right"/>
              <w:bidi w:val="1"/>
            </w:pPr>
            <w:r>
              <w:rPr>
                <w:rFonts w:ascii="Noto Naskh Arabic" w:hAnsi="Noto Naskh Arabic" w:cs="Noto Naskh Arabic"/>
                <w:b/>
                <w:color w:val="404040"/>
                <w:sz w:val="20"/>
                <w:rtl w:val="1"/>
              </w:rPr>
              <w:t>عبرانيين 11:19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0" w:line="238" w:lineRule="auto"/>
        <w:jc w:val="right"/>
        <w:bidi w:val="1"/>
      </w:pPr>
      <w:r>
        <w:rPr>
          <w:rFonts w:ascii="Noto Naskh Arabic" w:hAnsi="Noto Naskh Arabic" w:cs="Noto Naskh Arabic"/>
          <w:b w:val="0"/>
          <w:sz w:val="22"/>
          <w:rtl w:val="1"/>
        </w:rPr>
        <w:t>منع الله إبراهيم من قتل إسحاق ووفّر كبشاً بدلاً منه. وأظهر الحدث عمق ثقة إبراهيم وطاعته، ثم تكررت الوعود واتسعت.</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«ويتبارك في نسلك جميع أمم الأرض، من أجل أنك سمعت لقولي.»</w:t>
            </w:r>
          </w:p>
          <w:p>
            <w:pPr>
              <w:spacing w:after="0" w:before="0" w:line="226" w:lineRule="auto"/>
              <w:jc w:val="right"/>
              <w:bidi w:val="1"/>
            </w:pPr>
            <w:r>
              <w:rPr>
                <w:rFonts w:ascii="Noto Naskh Arabic" w:hAnsi="Noto Naskh Arabic" w:cs="Noto Naskh Arabic"/>
                <w:b/>
                <w:color w:val="404040"/>
                <w:sz w:val="20"/>
                <w:rtl w:val="1"/>
              </w:rPr>
              <w:t>التكوين 22:18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الإيمان هو الثقة التي تؤدي إلى الطاعة</w:t>
      </w:r>
    </w:p>
    <w:p>
      <w:pPr>
        <w:spacing w:after="50" w:before="0" w:line="238" w:lineRule="auto"/>
        <w:jc w:val="right"/>
        <w:bidi w:val="1"/>
      </w:pPr>
      <w:r>
        <w:rPr>
          <w:rFonts w:ascii="Noto Naskh Arabic" w:hAnsi="Noto Naskh Arabic" w:cs="Noto Naskh Arabic"/>
          <w:b w:val="0"/>
          <w:sz w:val="22"/>
          <w:rtl w:val="1"/>
        </w:rPr>
        <w:t>لم يكن إبراهيم بلا خطية، لكنه صدّق ما وعد به الله وتصرف على أساس هذا الإيمان. وتستخدمه الأسفار مثالاً عظيماً للإيمان لأن ثقته ظهرت في الطاعة حتى عندما لم يكن يرى بعد كيف سيتم مقصد الله.</w:t>
      </w:r>
    </w:p>
    <w:p>
      <w:pPr>
        <w:spacing w:after="50" w:before="60" w:line="238" w:lineRule="auto"/>
        <w:jc w:val="right"/>
        <w:keepNext/>
        <w:keepLines/>
        <w:bidi w:val="1"/>
      </w:pPr>
      <w:r>
        <w:rPr>
          <w:rFonts w:ascii="Noto Naskh Arabic" w:hAnsi="Noto Naskh Arabic" w:cs="Noto Naskh Arabic"/>
          <w:b/>
          <w:color w:val="1F4E79"/>
          <w:sz w:val="29"/>
          <w:rtl w:val="1"/>
        </w:rPr>
        <w:t>نسل أعظم من إسحاق</w:t>
      </w:r>
    </w:p>
    <w:p>
      <w:pPr>
        <w:spacing w:after="50" w:before="0" w:line="238" w:lineRule="auto"/>
        <w:jc w:val="right"/>
        <w:bidi w:val="1"/>
      </w:pPr>
      <w:r>
        <w:rPr>
          <w:rFonts w:ascii="Noto Naskh Arabic" w:hAnsi="Noto Naskh Arabic" w:cs="Noto Naskh Arabic"/>
          <w:b w:val="0"/>
          <w:sz w:val="22"/>
          <w:rtl w:val="1"/>
        </w:rPr>
        <w:t>تصل وعود إبراهيم إلى أبعد بكثير من إسحاق ونسله الطبيعي. فالآية الأولى من العهد الجديد تعرّف يسوع المسيح بأنه «ابن داود ابن إبراهيم» (متى 1:1). ويشرح بولس أن وعد نسل إبراهيم يجد إتمامه المركزي في المسيح.</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«وأما المواعيد فقيلت في إبراهيم وفي نسله. لا يقول: وفي الأنسال، كأنه عن كثيرين، بل كأنه عن واحد: وفي نسلك، الذي هو المسيح.»</w:t>
            </w:r>
          </w:p>
          <w:p>
            <w:pPr>
              <w:spacing w:after="0" w:before="0" w:line="226" w:lineRule="auto"/>
              <w:jc w:val="right"/>
              <w:bidi w:val="1"/>
            </w:pPr>
            <w:r>
              <w:rPr>
                <w:rFonts w:ascii="Noto Naskh Arabic" w:hAnsi="Noto Naskh Arabic" w:cs="Noto Naskh Arabic"/>
                <w:b/>
                <w:color w:val="404040"/>
                <w:sz w:val="20"/>
                <w:rtl w:val="1"/>
              </w:rPr>
              <w:t>غلاطية 3:16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4"/>
          <w:rtl w:val="1"/>
        </w:rPr>
        <w:t>النسل الموعود</w:t>
      </w:r>
    </w:p>
    <w:p>
      <w:pPr>
        <w:spacing w:after="50" w:before="0" w:line="238" w:lineRule="auto"/>
        <w:jc w:val="right"/>
        <w:bidi w:val="1"/>
      </w:pPr>
      <w:r>
        <w:rPr>
          <w:rFonts w:ascii="Noto Naskh Arabic" w:hAnsi="Noto Naskh Arabic" w:cs="Noto Naskh Arabic"/>
          <w:b w:val="0"/>
          <w:sz w:val="22"/>
          <w:rtl w:val="1"/>
        </w:rPr>
        <w:t>يسوع المسيح هو النسل المركزي الذي به تتحقق البركة العالمية الموعودة لإبراهيم. وعند عودة المسيح وإقامة مملكة الله تصل وعود الأرض والمملكة وبركة الأمم إلى إتمامها المحدد.</w:t>
      </w:r>
    </w:p>
    <w:p>
      <w:pPr>
        <w:spacing w:after="50" w:before="60" w:line="238" w:lineRule="auto"/>
        <w:jc w:val="right"/>
        <w:keepNext/>
        <w:keepLines/>
        <w:bidi w:val="1"/>
      </w:pPr>
      <w:r>
        <w:rPr>
          <w:rFonts w:ascii="Noto Naskh Arabic" w:hAnsi="Noto Naskh Arabic" w:cs="Noto Naskh Arabic"/>
          <w:b/>
          <w:color w:val="1F4E79"/>
          <w:sz w:val="29"/>
          <w:rtl w:val="1"/>
        </w:rPr>
        <w:t>يمكننا نحن أيضاً أن نشارك الوعود</w:t>
      </w:r>
    </w:p>
    <w:p>
      <w:pPr>
        <w:spacing w:after="50" w:before="0" w:line="238" w:lineRule="auto"/>
        <w:jc w:val="right"/>
        <w:bidi w:val="1"/>
      </w:pPr>
      <w:r>
        <w:rPr>
          <w:rFonts w:ascii="Noto Naskh Arabic" w:hAnsi="Noto Naskh Arabic" w:cs="Noto Naskh Arabic"/>
          <w:b w:val="0"/>
          <w:sz w:val="22"/>
          <w:rtl w:val="1"/>
        </w:rPr>
        <w:t>التعليم المدهش في غلاطية 3 هو أن رجالاً ونساء من كل أمة يمكن أن يصيروا مرتبطين بهذه الوعود. الأساس ليس النسب الطبيعي بل الانتماء إلى المسيح. ويربط بولس ذلك مباشرة بالإيمان والمعمودية في المسيح.</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«لأن كلكم الذين اعتمدتم بالمسيح قد لبستم المسيح. ليس يهودي ولا يوناني، ليس عبد ولا حر، ليس ذكر وأنثى، لأنكم جميعاً واحد في المسيح يسوع.»</w:t>
            </w:r>
          </w:p>
          <w:p>
            <w:pPr>
              <w:spacing w:after="0" w:before="0" w:line="226" w:lineRule="auto"/>
              <w:jc w:val="right"/>
              <w:bidi w:val="1"/>
            </w:pPr>
            <w:r>
              <w:rPr>
                <w:rFonts w:ascii="Noto Naskh Arabic" w:hAnsi="Noto Naskh Arabic" w:cs="Noto Naskh Arabic"/>
                <w:b/>
                <w:color w:val="404040"/>
                <w:sz w:val="20"/>
                <w:rtl w:val="1"/>
              </w:rPr>
              <w:t>غلاطية 3:27–28  •  نسخة الملك جيمس</w:t>
            </w:r>
          </w:p>
        </w:tc>
      </w:tr>
    </w:tbl>
    <w:p>
      <w:pPr>
        <w:spacing w:after="0" w:before="0" w:line="238"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«فإن كنتم للمسيح فأنتم إذاً نسل إبراهيم، وحسب الموعد ورثة.»</w:t>
            </w:r>
          </w:p>
          <w:p>
            <w:pPr>
              <w:spacing w:after="0" w:before="0" w:line="226" w:lineRule="auto"/>
              <w:jc w:val="right"/>
              <w:bidi w:val="1"/>
            </w:pPr>
            <w:r>
              <w:rPr>
                <w:rFonts w:ascii="Noto Naskh Arabic" w:hAnsi="Noto Naskh Arabic" w:cs="Noto Naskh Arabic"/>
                <w:b/>
                <w:color w:val="404040"/>
                <w:sz w:val="20"/>
                <w:rtl w:val="1"/>
              </w:rPr>
              <w:t>غلاطية 3:29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0" w:line="238" w:lineRule="auto"/>
        <w:jc w:val="right"/>
        <w:bidi w:val="1"/>
      </w:pPr>
      <w:r>
        <w:rPr>
          <w:rFonts w:ascii="Noto Naskh Arabic" w:hAnsi="Noto Naskh Arabic" w:cs="Noto Naskh Arabic"/>
          <w:b w:val="0"/>
          <w:sz w:val="22"/>
          <w:rtl w:val="1"/>
        </w:rPr>
        <w:t>لهذا تهم وعود إبراهيم كل دارس للإنجيل. فمن خلال المسيح يمكن للمؤمنين أن يصيروا ورثة الوعد نفسه ويشاركوا في بركات مملكة الله المستقبلية على الأرض.</w:t>
      </w:r>
    </w:p>
    <w:p>
      <w:pPr>
        <w:spacing w:after="50" w:before="60" w:line="238" w:lineRule="auto"/>
        <w:jc w:val="right"/>
        <w:keepNext/>
        <w:keepLines/>
        <w:bidi w:val="1"/>
      </w:pPr>
      <w:r>
        <w:rPr>
          <w:rFonts w:ascii="Noto Naskh Arabic" w:hAnsi="Noto Naskh Arabic" w:cs="Noto Naskh Arabic"/>
          <w:b/>
          <w:color w:val="1F4E79"/>
          <w:sz w:val="29"/>
          <w:rtl w:val="1"/>
        </w:rPr>
        <w:t>ماذا عن إبراهيم نفسه؟</w:t>
      </w:r>
    </w:p>
    <w:p>
      <w:pPr>
        <w:spacing w:after="50" w:before="0" w:line="238" w:lineRule="auto"/>
        <w:jc w:val="right"/>
        <w:bidi w:val="1"/>
      </w:pPr>
      <w:r>
        <w:rPr>
          <w:rFonts w:ascii="Noto Naskh Arabic" w:hAnsi="Noto Naskh Arabic" w:cs="Noto Naskh Arabic"/>
          <w:b w:val="0"/>
          <w:sz w:val="22"/>
          <w:rtl w:val="1"/>
        </w:rPr>
        <w:t>مات إبراهيم من غير أن ينال الميراث الكامل الموعود له. لكن وعد الله لا يمكن أن يفشل. تقول الرسالة إلى العبرانيين إن إبراهيم وغيرَه من الأمناء ماتوا بالإيمان وهم ما زالوا ينتظرون إتمام المواعيد (عبرانيين 11:13، 39–40). لذلك يتطلب الميراث الموعود القيامة والحياة الأبدية.</w:t>
      </w:r>
    </w:p>
    <w:p>
      <w:pPr>
        <w:spacing w:after="50" w:before="60" w:line="238" w:lineRule="auto"/>
        <w:jc w:val="right"/>
        <w:keepNext/>
        <w:keepLines/>
        <w:bidi w:val="1"/>
      </w:pPr>
      <w:r>
        <w:rPr>
          <w:rFonts w:ascii="Noto Naskh Arabic" w:hAnsi="Noto Naskh Arabic" w:cs="Noto Naskh Arabic"/>
          <w:b/>
          <w:color w:val="1F4E79"/>
          <w:sz w:val="24"/>
          <w:rtl w:val="1"/>
        </w:rPr>
        <w:t>الوعد أرضي لا سماوي</w:t>
      </w:r>
    </w:p>
    <w:p>
      <w:pPr>
        <w:spacing w:after="50" w:before="0" w:line="238" w:lineRule="auto"/>
        <w:jc w:val="right"/>
        <w:bidi w:val="1"/>
      </w:pPr>
      <w:r>
        <w:rPr>
          <w:rFonts w:ascii="Noto Naskh Arabic" w:hAnsi="Noto Naskh Arabic" w:cs="Noto Naskh Arabic"/>
          <w:b w:val="0"/>
          <w:sz w:val="22"/>
          <w:rtl w:val="1"/>
        </w:rPr>
        <w:t>وعد الله إبراهيم بالأرض التي عاش فيها. ورجاء الكتاب هو أن يُقام إبراهيم والأمناء من الأموات ويرثوا مملكة الله على الأرض عند عودة الرب يسوع المسيح.</w:t>
      </w:r>
    </w:p>
    <w:p>
      <w:pPr>
        <w:spacing w:after="50" w:before="60" w:line="238" w:lineRule="auto"/>
        <w:jc w:val="right"/>
        <w:keepNext/>
        <w:keepLines/>
        <w:bidi w:val="1"/>
      </w:pPr>
      <w:r>
        <w:rPr>
          <w:rFonts w:ascii="Noto Naskh Arabic" w:hAnsi="Noto Naskh Arabic" w:cs="Noto Naskh Arabic"/>
          <w:b/>
          <w:color w:val="1F4E79"/>
          <w:sz w:val="29"/>
          <w:rtl w:val="1"/>
        </w:rPr>
        <w:t>الوعود في لمحة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المرجع</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الوعد</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الدلالة</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التكوين 12:2</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أمة عظيمة</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تنشأ أمة إسرائيل من إبراهيم عبر إسحاق ويعقوب.</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التكوين 12:2</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الله يبارك إبراهيم</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صار إبراهيم متلقياً لدعوة إلهية خاصة وعهد.</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التكوين 12:3</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بركة لجميع القبائل</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تصل البركة في النهاية إلى الأمم بيسوع المسيح.</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التكوين 12:7</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الأرض لنسل إبراهيم</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تصبح الأرض الموعودة جزءاً مركزياً من مقصد العهد.</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التكوين 13:15</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الأرض لإبراهيم ونسله إلى الأبد</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يشير الوعد إلى ما بعد حياة إبراهيم الفانية، إلى القيامة والميراث المستقبلين.</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التكوين 13:16</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نسل كتراب الأرض</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يصير إبراهيم أباً لشعب كثير.</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التكوين 15:18</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تثبيت العهد</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أكد الله وعد الأرض رسمياً.</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التكوين 22:18</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كل الأمم تتبارك في نسله</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يحدد بولس النسل المركزي بأنه المسيح (غلاطية 3:16).</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الخلاصة — وعود الله لإبراهيم</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رقم</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النقطة</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المعنى</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1</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دُعي إبراهيم إلى حياة الإيمان</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ترك أور لأنه وثق بالله مع أنه لم يكن يعرف أين يقوده.</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2</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وعد الله إبراهيم بالأرض والنسل</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وُعد بأرض كنعان له ولنسله وبجمهور كبير من الذرية.</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3</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أكد الله الوعود بعهد</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المواعيد قائمة على أمانة الله ولا يمكن أن تفشل.</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4</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كان إسحاق الابن الموعود</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أظهرت ولادته المعجزية واختبار التكوين 22 قدرة الله وثقة إبراهيم.</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5</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يسوع المسيح هو النسل الأعظم الموعود</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به تمتد البركة الموعودة لإبراهيم إلى أناس من كل الأمم.</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6</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يمكن للمؤمنين أن يصيروا ورثة الوعد</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الذين ينتمون إلى المسيح بالإيمان والمعمودية يُحسبون من نسل إبراهيم ويمكن أن يشاركوا الميراث الموعود.</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4"/>
          <w:rtl w:val="1"/>
        </w:rPr>
        <w:t>أصحاح للقراءة</w:t>
      </w:r>
    </w:p>
    <w:p>
      <w:pPr>
        <w:spacing w:after="50" w:before="0" w:line="238" w:lineRule="auto"/>
        <w:jc w:val="right"/>
        <w:bidi w:val="1"/>
      </w:pPr>
      <w:r>
        <w:rPr>
          <w:rFonts w:ascii="Noto Naskh Arabic" w:hAnsi="Noto Naskh Arabic" w:cs="Noto Naskh Arabic"/>
          <w:b w:val="0"/>
          <w:sz w:val="22"/>
          <w:rtl w:val="1"/>
        </w:rPr>
        <w:t>عبرانيين 11 — لاحظ خصوصاً الآيات 8–19 و39–40</w:t>
      </w:r>
    </w:p>
    <w:p>
      <w:pPr>
        <w:spacing w:after="50" w:before="60" w:line="238" w:lineRule="auto"/>
        <w:jc w:val="right"/>
        <w:keepNext/>
        <w:keepLines/>
        <w:bidi w:val="1"/>
      </w:pPr>
      <w:r>
        <w:rPr>
          <w:rFonts w:ascii="Noto Naskh Arabic" w:hAnsi="Noto Naskh Arabic" w:cs="Noto Naskh Arabic"/>
          <w:b/>
          <w:color w:val="1F4E79"/>
          <w:sz w:val="29"/>
          <w:rtl w:val="1"/>
        </w:rPr>
        <w:t>للحفظ  •  غلاطية 3:27–29</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«لأن كلكم الذين اعتمدتم بالمسيح قد لبستم المسيح. ليس يهودي ولا يوناني، ليس عبد ولا حر، ليس ذكر وأنثى، لأنكم جميعاً واحد في المسيح يسوع. فإن كنتم للمسيح فأنتم إذاً نسل إبراهيم، وحسب الموعد ورثة.»</w:t>
            </w:r>
          </w:p>
          <w:p>
            <w:pPr>
              <w:spacing w:after="0" w:before="0" w:line="226" w:lineRule="auto"/>
              <w:jc w:val="right"/>
              <w:bidi w:val="1"/>
            </w:pPr>
            <w:r>
              <w:rPr>
                <w:rFonts w:ascii="Noto Naskh Arabic" w:hAnsi="Noto Naskh Arabic" w:cs="Noto Naskh Arabic"/>
                <w:b/>
                <w:color w:val="404040"/>
                <w:sz w:val="20"/>
                <w:rtl w:val="1"/>
              </w:rPr>
              <w:t>غلاطية 3:27–29  •  نسخة الملك جيمس</w:t>
            </w:r>
          </w:p>
        </w:tc>
      </w:tr>
    </w:tbl>
    <w:sectPr w:rsidR="00FC693F" w:rsidRPr="0006063C" w:rsidSect="00034616">
      <w:footerReference w:type="default" r:id="rId9"/>
      <w:pgSz w:w="11909" w:h="16834"/>
      <w:pgMar w:top="835" w:right="979" w:bottom="864"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