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w:hAnsi="Aptos"/>
          <w:b/>
          <w:i w:val="0"/>
          <w:color w:val="1F4E79"/>
          <w:sz w:val="20"/>
        </w:rPr>
        <w:t>LIÇÃO 22</w:t>
      </w:r>
    </w:p>
    <w:p>
      <w:pPr>
        <w:jc w:val="center"/>
      </w:pPr>
      <w:r>
        <w:rPr>
          <w:rFonts w:ascii="Aptos" w:hAnsi="Aptos"/>
          <w:b/>
          <w:i w:val="0"/>
          <w:color w:val="1F4E79"/>
          <w:sz w:val="35"/>
        </w:rPr>
        <w:t>O Pecado e as Suas Consequências — Parte I</w:t>
      </w:r>
    </w:p>
    <w:p>
      <w:pPr>
        <w:spacing w:after="80"/>
        <w:jc w:val="center"/>
      </w:pPr>
      <w:r>
        <w:rPr>
          <w:rFonts w:ascii="Aptos" w:hAnsi="Aptos"/>
          <w:b/>
          <w:i w:val="0"/>
          <w:color w:val="333333"/>
          <w:sz w:val="19"/>
        </w:rPr>
        <w:t>LEITURA  •  GÉNESIS 2 E 3</w:t>
      </w:r>
    </w:p>
    <w:p>
      <w:pPr>
        <w:keepNext/>
        <w:spacing w:before="52" w:after="20"/>
      </w:pPr>
      <w:r>
        <w:rPr>
          <w:rFonts w:ascii="Aptos" w:hAnsi="Aptos"/>
          <w:b/>
          <w:i w:val="0"/>
          <w:color w:val="1F4E79"/>
          <w:sz w:val="24"/>
        </w:rPr>
        <w:t>Onde começou o problema?</w:t>
      </w:r>
    </w:p>
    <w:p>
      <w:pPr>
        <w:spacing w:after="28" w:line="233" w:lineRule="auto"/>
      </w:pPr>
      <w:r>
        <w:rPr>
          <w:rFonts w:ascii="Aptos" w:hAnsi="Aptos"/>
          <w:b w:val="0"/>
          <w:i w:val="0"/>
          <w:sz w:val="18"/>
        </w:rPr>
        <w:t>A Bíblia apresenta o mundo como criação de Deus, mas o pecado humano trouxe sofrimento, desordem e morte. Génesis 2 e 3 levam-nos ao princípio e explicam como a desobediência entrou na experiência humana.</w:t>
      </w:r>
    </w:p>
    <w:p>
      <w:pPr>
        <w:keepNext/>
        <w:spacing w:before="52" w:after="20"/>
      </w:pPr>
      <w:r>
        <w:rPr>
          <w:rFonts w:ascii="Aptos" w:hAnsi="Aptos"/>
          <w:b/>
          <w:i w:val="0"/>
          <w:color w:val="1F4E79"/>
          <w:sz w:val="24"/>
        </w:rPr>
        <w:t>Deus fez o primeiro homem</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«E formou o SENHOR Deus o homem do pó da terra, e soprou em seus narizes o fôlego da vida; e o homem foi feito alma vivente.»</w:t>
            </w:r>
          </w:p>
          <w:p>
            <w:pPr>
              <w:spacing w:after="0"/>
            </w:pPr>
            <w:r>
              <w:rPr>
                <w:rFonts w:ascii="Aptos" w:hAnsi="Aptos"/>
                <w:b/>
                <w:i w:val="0"/>
                <w:color w:val="333333"/>
                <w:sz w:val="16"/>
              </w:rPr>
              <w:t>Génesis 2:7  •  King James Version</w:t>
            </w:r>
          </w:p>
        </w:tc>
      </w:tr>
    </w:tbl>
    <w:p>
      <w:pPr>
        <w:spacing w:after="28" w:line="233" w:lineRule="auto"/>
      </w:pPr>
      <w:r>
        <w:rPr>
          <w:rFonts w:ascii="Aptos" w:hAnsi="Aptos"/>
          <w:b w:val="0"/>
          <w:i w:val="0"/>
          <w:sz w:val="18"/>
        </w:rPr>
        <w:t>Deus colocou Adão no jardim do Éden e deu-lhe Eva como mulher. Estavam rodeados pela bondade de Deus, mas ainda tinham de escolher se confiariam e obedeceriam a Ele.</w:t>
      </w:r>
    </w:p>
    <w:p>
      <w:pPr>
        <w:keepNext/>
        <w:spacing w:before="52" w:after="20"/>
      </w:pPr>
      <w:r>
        <w:rPr>
          <w:rFonts w:ascii="Aptos" w:hAnsi="Aptos"/>
          <w:b/>
          <w:i w:val="0"/>
          <w:color w:val="1F4E79"/>
          <w:sz w:val="24"/>
        </w:rPr>
        <w:t>Uma ordem clara</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«De toda a árvore do jardim comerás livremente, mas da árvore do conhecimento do bem e do mal, dela não comerás; porque no dia em que dela comeres certamente morrerás.»</w:t>
            </w:r>
          </w:p>
          <w:p>
            <w:pPr>
              <w:spacing w:after="0"/>
            </w:pPr>
            <w:r>
              <w:rPr>
                <w:rFonts w:ascii="Aptos" w:hAnsi="Aptos"/>
                <w:b/>
                <w:i w:val="0"/>
                <w:color w:val="333333"/>
                <w:sz w:val="16"/>
              </w:rPr>
              <w:t>Génesis 2:16-17  •  King James Version</w:t>
            </w:r>
          </w:p>
        </w:tc>
      </w:tr>
    </w:tbl>
    <w:p>
      <w:pPr>
        <w:spacing w:after="28" w:line="233" w:lineRule="auto"/>
      </w:pPr>
      <w:r>
        <w:rPr>
          <w:rFonts w:ascii="Aptos" w:hAnsi="Aptos"/>
          <w:b w:val="0"/>
          <w:i w:val="0"/>
          <w:sz w:val="18"/>
        </w:rPr>
        <w:t>Adão e Eva não foram criados como fantoches. Deus exigia obediência voluntária. Podiam ouvir a Sua ordem ou rejeitá-la.</w:t>
      </w:r>
    </w:p>
    <w:p>
      <w:pPr>
        <w:keepNext/>
        <w:spacing w:before="52" w:after="20"/>
      </w:pPr>
      <w:r>
        <w:rPr>
          <w:rFonts w:ascii="Aptos" w:hAnsi="Aptos"/>
          <w:b/>
          <w:i w:val="0"/>
          <w:color w:val="1F4E79"/>
          <w:sz w:val="24"/>
        </w:rPr>
        <w:t>A mentira da serpente e a desobediência humana</w:t>
      </w:r>
    </w:p>
    <w:p>
      <w:pPr>
        <w:spacing w:after="28" w:line="233" w:lineRule="auto"/>
      </w:pPr>
      <w:r>
        <w:rPr>
          <w:rFonts w:ascii="Aptos" w:hAnsi="Aptos"/>
          <w:b w:val="0"/>
          <w:i w:val="0"/>
          <w:sz w:val="18"/>
        </w:rPr>
        <w:t>Génesis 3 regista como a serpente contradisse Deus. Disse a Eva: «Certamente não morrereis» e prometeu que comer do fruto os tornaria «como deuses, sabendo o bem e o mal» (Génesis 3:4-5). Eva comeu, e Adão também.</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8"/>
            </w:pPr>
            <w:r>
              <w:rPr>
                <w:rFonts w:ascii="Aptos" w:hAnsi="Aptos"/>
                <w:b/>
                <w:i w:val="0"/>
                <w:color w:val="1F4E79"/>
                <w:sz w:val="19"/>
              </w:rPr>
              <w:t>O que é pecado?</w:t>
            </w:r>
          </w:p>
          <w:p>
            <w:pPr>
              <w:spacing w:after="0"/>
            </w:pPr>
            <w:r>
              <w:rPr>
                <w:rFonts w:ascii="Aptos" w:hAnsi="Aptos"/>
                <w:b w:val="0"/>
                <w:i w:val="0"/>
                <w:sz w:val="18"/>
              </w:rPr>
              <w:t>Pecado é desobediência a Deus. Adão e Eva colocaram o seu próprio juízo acima da ordem de Deus. Essa escolha trouxe consequências não só para eles, mas para a família humana que veio depois.</w:t>
            </w:r>
          </w:p>
        </w:tc>
      </w:tr>
    </w:tbl>
    <w:p>
      <w:pPr>
        <w:keepNext/>
        <w:spacing w:before="52" w:after="20"/>
      </w:pPr>
      <w:r>
        <w:rPr>
          <w:rFonts w:ascii="Aptos" w:hAnsi="Aptos"/>
          <w:b/>
          <w:i w:val="0"/>
          <w:color w:val="1F4E79"/>
          <w:sz w:val="24"/>
        </w:rPr>
        <w:t>A consequência foi a morte</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«Tu és pó e em pó te tornarás.»</w:t>
            </w:r>
          </w:p>
          <w:p>
            <w:pPr>
              <w:spacing w:after="0"/>
            </w:pPr>
            <w:r>
              <w:rPr>
                <w:rFonts w:ascii="Aptos" w:hAnsi="Aptos"/>
                <w:b/>
                <w:i w:val="0"/>
                <w:color w:val="333333"/>
                <w:sz w:val="16"/>
              </w:rPr>
              <w:t>Génesis 3:19  •  King James Version</w:t>
            </w:r>
          </w:p>
        </w:tc>
      </w:tr>
    </w:tbl>
    <w:p>
      <w:pPr>
        <w:spacing w:after="28" w:line="233" w:lineRule="auto"/>
      </w:pPr>
      <w:r>
        <w:rPr>
          <w:rFonts w:ascii="Aptos" w:hAnsi="Aptos"/>
          <w:b w:val="0"/>
          <w:i w:val="0"/>
          <w:sz w:val="18"/>
        </w:rPr>
        <w:t>Adão e Eva não morreram naquele mesmo dia de calendário, mas a partir daí tornaram-se criaturas mortais e moribundas. As suas vidas terminariam, e os seus corpos regressariam ao pó.</w:t>
      </w:r>
    </w:p>
    <w:p>
      <w:pPr>
        <w:keepNext/>
        <w:spacing w:before="52" w:after="20"/>
      </w:pPr>
      <w:r>
        <w:rPr>
          <w:rFonts w:ascii="Aptos" w:hAnsi="Aptos"/>
          <w:b/>
          <w:i w:val="0"/>
          <w:color w:val="1F4E79"/>
          <w:sz w:val="24"/>
        </w:rPr>
        <w:t>O que é uma «alma vivente»?</w:t>
      </w:r>
    </w:p>
    <w:p>
      <w:pPr>
        <w:spacing w:after="28" w:line="233" w:lineRule="auto"/>
      </w:pPr>
      <w:r>
        <w:rPr>
          <w:rFonts w:ascii="Aptos" w:hAnsi="Aptos"/>
          <w:b w:val="0"/>
          <w:i w:val="0"/>
          <w:sz w:val="18"/>
        </w:rPr>
        <w:t>Génesis 2:7 não descreve Adão como recebendo uma alma imortal separada. Diz que, quando Deus formou o corpo do pó e lhe deu o fôlego da vida, o homem tornou-se «alma vivente». Na linguagem da King James Version, «soul» pode referir-se à pessoa ou criatura viva.</w:t>
      </w:r>
    </w:p>
    <w:tbl>
      <w:tblPr>
        <w:tblStyle w:val="TableGrid"/>
        <w:tblW w:type="auto" w:w="0"/>
        <w:jc w:val="center"/>
        <w:tblLook w:firstColumn="1" w:firstRow="1" w:lastColumn="0" w:lastRow="0" w:noHBand="0" w:noVBand="1" w:val="04A0"/>
      </w:tblPr>
      <w:tblGrid>
        <w:gridCol w:w="3355"/>
        <w:gridCol w:w="3355"/>
        <w:gridCol w:w="3355"/>
      </w:tblGrid>
      <w:tr>
        <w:trPr>
          <w:cantSplit/>
        </w:trPr>
        <w:tc>
          <w:tcPr>
            <w:tcW w:type="dxa" w:w="3355"/>
            <w:shd w:fill="D9EAF7"/>
          </w:tcPr>
          <w:p>
            <w:pPr>
              <w:keepNext/>
              <w:jc w:val="center"/>
            </w:pPr>
            <w:r>
              <w:rPr>
                <w:rFonts w:ascii="Aptos" w:hAnsi="Aptos"/>
                <w:b/>
                <w:i w:val="0"/>
                <w:color w:val="1F4E79"/>
                <w:sz w:val="15"/>
              </w:rPr>
              <w:t>ELEMENTO</w:t>
            </w:r>
          </w:p>
        </w:tc>
        <w:tc>
          <w:tcPr>
            <w:tcW w:type="dxa" w:w="3355"/>
            <w:shd w:fill="D9EAF7"/>
          </w:tcPr>
          <w:p>
            <w:pPr>
              <w:keepNext/>
              <w:jc w:val="center"/>
            </w:pPr>
            <w:r>
              <w:rPr>
                <w:rFonts w:ascii="Aptos" w:hAnsi="Aptos"/>
                <w:b/>
                <w:i w:val="0"/>
                <w:color w:val="1F4E79"/>
                <w:sz w:val="15"/>
              </w:rPr>
              <w:t>DESCRIÇÃO EM GÉNESIS</w:t>
            </w:r>
          </w:p>
        </w:tc>
        <w:tc>
          <w:tcPr>
            <w:tcW w:type="dxa" w:w="3355"/>
            <w:shd w:fill="D9EAF7"/>
          </w:tcPr>
          <w:p>
            <w:pPr>
              <w:keepNext/>
              <w:jc w:val="center"/>
            </w:pPr>
            <w:r>
              <w:rPr>
                <w:rFonts w:ascii="Aptos" w:hAnsi="Aptos"/>
                <w:b/>
                <w:i w:val="0"/>
                <w:color w:val="1F4E79"/>
                <w:sz w:val="15"/>
              </w:rPr>
              <w:t>RESULTADO</w:t>
            </w:r>
          </w:p>
        </w:tc>
      </w:tr>
      <w:tr>
        <w:trPr>
          <w:cantSplit/>
        </w:trPr>
        <w:tc>
          <w:tcPr>
            <w:tcW w:type="dxa" w:w="3355"/>
          </w:tcPr>
          <w:p>
            <w:pPr>
              <w:spacing w:after="0"/>
            </w:pPr>
            <w:r>
              <w:rPr>
                <w:rFonts w:ascii="Aptos" w:hAnsi="Aptos"/>
                <w:b w:val="0"/>
                <w:i w:val="0"/>
                <w:sz w:val="15"/>
              </w:rPr>
              <w:t>Pó</w:t>
            </w:r>
          </w:p>
        </w:tc>
        <w:tc>
          <w:tcPr>
            <w:tcW w:type="dxa" w:w="3355"/>
          </w:tcPr>
          <w:p>
            <w:pPr>
              <w:spacing w:after="0"/>
            </w:pPr>
            <w:r>
              <w:rPr>
                <w:rFonts w:ascii="Aptos" w:hAnsi="Aptos"/>
                <w:b w:val="0"/>
                <w:i w:val="0"/>
                <w:sz w:val="15"/>
              </w:rPr>
              <w:t>Deus formou o corpo do solo.</w:t>
            </w:r>
          </w:p>
        </w:tc>
        <w:tc>
          <w:tcPr>
            <w:tcW w:type="dxa" w:w="3355"/>
          </w:tcPr>
          <w:p>
            <w:pPr>
              <w:spacing w:after="0"/>
            </w:pPr>
            <w:r>
              <w:rPr>
                <w:rFonts w:ascii="Aptos" w:hAnsi="Aptos"/>
                <w:b w:val="0"/>
                <w:i w:val="0"/>
                <w:sz w:val="15"/>
              </w:rPr>
              <w:t>Um corpo, mas ainda não um homem vivo.</w:t>
            </w:r>
          </w:p>
        </w:tc>
      </w:tr>
      <w:tr>
        <w:trPr>
          <w:cantSplit/>
        </w:trPr>
        <w:tc>
          <w:tcPr>
            <w:tcW w:type="dxa" w:w="3355"/>
          </w:tcPr>
          <w:p>
            <w:pPr>
              <w:spacing w:after="0"/>
            </w:pPr>
            <w:r>
              <w:rPr>
                <w:rFonts w:ascii="Aptos" w:hAnsi="Aptos"/>
                <w:b w:val="0"/>
                <w:i w:val="0"/>
                <w:sz w:val="15"/>
              </w:rPr>
              <w:t>Fôlego da vida</w:t>
            </w:r>
          </w:p>
        </w:tc>
        <w:tc>
          <w:tcPr>
            <w:tcW w:type="dxa" w:w="3355"/>
          </w:tcPr>
          <w:p>
            <w:pPr>
              <w:spacing w:after="0"/>
            </w:pPr>
            <w:r>
              <w:rPr>
                <w:rFonts w:ascii="Aptos" w:hAnsi="Aptos"/>
                <w:b w:val="0"/>
                <w:i w:val="0"/>
                <w:sz w:val="15"/>
              </w:rPr>
              <w:t>Deus soprou vida em Adão.</w:t>
            </w:r>
          </w:p>
        </w:tc>
        <w:tc>
          <w:tcPr>
            <w:tcW w:type="dxa" w:w="3355"/>
          </w:tcPr>
          <w:p>
            <w:pPr>
              <w:spacing w:after="0"/>
            </w:pPr>
            <w:r>
              <w:rPr>
                <w:rFonts w:ascii="Aptos" w:hAnsi="Aptos"/>
                <w:b w:val="0"/>
                <w:i w:val="0"/>
                <w:sz w:val="15"/>
              </w:rPr>
              <w:t>A vida veio de Deus.</w:t>
            </w:r>
          </w:p>
        </w:tc>
      </w:tr>
      <w:tr>
        <w:trPr>
          <w:cantSplit/>
        </w:trPr>
        <w:tc>
          <w:tcPr>
            <w:tcW w:type="dxa" w:w="3355"/>
          </w:tcPr>
          <w:p>
            <w:pPr>
              <w:spacing w:after="0"/>
            </w:pPr>
            <w:r>
              <w:rPr>
                <w:rFonts w:ascii="Aptos" w:hAnsi="Aptos"/>
                <w:b w:val="0"/>
                <w:i w:val="0"/>
                <w:sz w:val="15"/>
              </w:rPr>
              <w:t>Alma vivente</w:t>
            </w:r>
          </w:p>
        </w:tc>
        <w:tc>
          <w:tcPr>
            <w:tcW w:type="dxa" w:w="3355"/>
          </w:tcPr>
          <w:p>
            <w:pPr>
              <w:spacing w:after="0"/>
            </w:pPr>
            <w:r>
              <w:rPr>
                <w:rFonts w:ascii="Aptos" w:hAnsi="Aptos"/>
                <w:b w:val="0"/>
                <w:i w:val="0"/>
                <w:sz w:val="15"/>
              </w:rPr>
              <w:t>O homem formado tornou-se alma vivente.</w:t>
            </w:r>
          </w:p>
        </w:tc>
        <w:tc>
          <w:tcPr>
            <w:tcW w:type="dxa" w:w="3355"/>
          </w:tcPr>
          <w:p>
            <w:pPr>
              <w:spacing w:after="0"/>
            </w:pPr>
            <w:r>
              <w:rPr>
                <w:rFonts w:ascii="Aptos" w:hAnsi="Aptos"/>
                <w:b w:val="0"/>
                <w:i w:val="0"/>
                <w:sz w:val="15"/>
              </w:rPr>
              <w:t>Adão era uma pessoa viva.</w:t>
            </w:r>
          </w:p>
        </w:tc>
      </w:tr>
      <w:tr>
        <w:trPr>
          <w:cantSplit/>
        </w:trPr>
        <w:tc>
          <w:tcPr>
            <w:tcW w:type="dxa" w:w="3355"/>
          </w:tcPr>
          <w:p>
            <w:pPr>
              <w:spacing w:after="0"/>
            </w:pPr>
            <w:r>
              <w:rPr>
                <w:rFonts w:ascii="Aptos" w:hAnsi="Aptos"/>
                <w:b w:val="0"/>
                <w:i w:val="0"/>
                <w:sz w:val="15"/>
              </w:rPr>
              <w:t>Morte</w:t>
            </w:r>
          </w:p>
        </w:tc>
        <w:tc>
          <w:tcPr>
            <w:tcW w:type="dxa" w:w="3355"/>
          </w:tcPr>
          <w:p>
            <w:pPr>
              <w:spacing w:after="0"/>
            </w:pPr>
            <w:r>
              <w:rPr>
                <w:rFonts w:ascii="Aptos" w:hAnsi="Aptos"/>
                <w:b w:val="0"/>
                <w:i w:val="0"/>
                <w:sz w:val="15"/>
              </w:rPr>
              <w:t>O fôlego sai e o corpo regressa ao pó.</w:t>
            </w:r>
          </w:p>
        </w:tc>
        <w:tc>
          <w:tcPr>
            <w:tcW w:type="dxa" w:w="3355"/>
          </w:tcPr>
          <w:p>
            <w:pPr>
              <w:spacing w:after="0"/>
            </w:pPr>
            <w:r>
              <w:rPr>
                <w:rFonts w:ascii="Aptos" w:hAnsi="Aptos"/>
                <w:b w:val="0"/>
                <w:i w:val="0"/>
                <w:sz w:val="15"/>
              </w:rPr>
              <w:t>A pessoa viva deixa de estar viva.</w:t>
            </w:r>
          </w:p>
        </w:tc>
      </w:tr>
    </w:tbl>
    <w:p>
      <w:pPr>
        <w:keepNext/>
        <w:spacing w:before="52" w:after="20"/>
      </w:pPr>
      <w:r>
        <w:rPr>
          <w:rFonts w:ascii="Aptos" w:hAnsi="Aptos"/>
          <w:b/>
          <w:i w:val="0"/>
          <w:color w:val="1F4E79"/>
          <w:sz w:val="24"/>
        </w:rPr>
        <w:t>O pecado de Adão e a nossa mortalidade</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«Pelo que, como por um homem entrou o pecado no mundo, e pelo pecado a morte, assim também a morte passou a todos os homens, por isso que todos pecaram.»</w:t>
            </w:r>
          </w:p>
          <w:p>
            <w:pPr>
              <w:spacing w:after="0"/>
            </w:pPr>
            <w:r>
              <w:rPr>
                <w:rFonts w:ascii="Aptos" w:hAnsi="Aptos"/>
                <w:b/>
                <w:i w:val="0"/>
                <w:color w:val="333333"/>
                <w:sz w:val="16"/>
              </w:rPr>
              <w:t>Romanos 5:12  •  King James Version</w:t>
            </w:r>
          </w:p>
        </w:tc>
      </w:tr>
    </w:tbl>
    <w:p>
      <w:pPr>
        <w:spacing w:after="28" w:line="233" w:lineRule="auto"/>
      </w:pPr>
      <w:r>
        <w:rPr>
          <w:rFonts w:ascii="Aptos" w:hAnsi="Aptos"/>
          <w:b w:val="0"/>
          <w:i w:val="0"/>
          <w:sz w:val="18"/>
        </w:rPr>
        <w:t>Os Cristadelfianos entendem isto como significando que herdamos de Adão a mortalidade e uma natureza inclinada ao pecado. Não somos pessoalmente culpados do ato individual de Adão, mas cada um de nós acrescenta os seus próprios pecados ao problema humano.</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8"/>
            </w:pPr>
            <w:r>
              <w:rPr>
                <w:rFonts w:ascii="Aptos" w:hAnsi="Aptos"/>
                <w:b/>
                <w:i w:val="0"/>
                <w:color w:val="1F4E79"/>
                <w:sz w:val="19"/>
              </w:rPr>
              <w:t>Pecado é mais do que crime notório</w:t>
            </w:r>
          </w:p>
          <w:p>
            <w:pPr>
              <w:spacing w:after="0"/>
            </w:pPr>
            <w:r>
              <w:rPr>
                <w:rFonts w:ascii="Aptos" w:hAnsi="Aptos"/>
                <w:b w:val="0"/>
                <w:i w:val="0"/>
                <w:sz w:val="18"/>
              </w:rPr>
              <w:t>O padrão da Bíblia alcança pensamentos, motivos e comportamento diário. Orgulho, egoísmo, ira, desonestidade e desejo impuro também fazem parte do problema do pecado.</w:t>
            </w:r>
          </w:p>
        </w:tc>
      </w:tr>
    </w:tbl>
    <w:p>
      <w:pPr>
        <w:keepNext/>
        <w:spacing w:before="52" w:after="20"/>
      </w:pPr>
      <w:r>
        <w:rPr>
          <w:rFonts w:ascii="Aptos" w:hAnsi="Aptos"/>
          <w:b/>
          <w:i w:val="0"/>
          <w:color w:val="1F4E79"/>
          <w:sz w:val="24"/>
        </w:rPr>
        <w:t>Como usa a Bíblia a palavra «alma»?</w:t>
      </w:r>
    </w:p>
    <w:p>
      <w:pPr>
        <w:spacing w:after="28" w:line="233" w:lineRule="auto"/>
      </w:pPr>
      <w:r>
        <w:rPr>
          <w:rFonts w:ascii="Aptos" w:hAnsi="Aptos"/>
          <w:b w:val="0"/>
          <w:i w:val="0"/>
          <w:sz w:val="18"/>
        </w:rPr>
        <w:t>A lição original reúne várias passagens da King James Version. São úteis porque mostram que «soul» não significa automaticamente uma parte imortal da pessoa. Em muitos textos significa simplesmente pessoa ou criatura viva.</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keepNext/>
              <w:jc w:val="center"/>
            </w:pPr>
            <w:r>
              <w:rPr>
                <w:rFonts w:ascii="Aptos" w:hAnsi="Aptos"/>
                <w:b/>
                <w:i w:val="0"/>
                <w:color w:val="1F4E79"/>
                <w:sz w:val="16"/>
              </w:rPr>
              <w:t>REFERÊNCIA</w:t>
            </w:r>
          </w:p>
        </w:tc>
        <w:tc>
          <w:tcPr>
            <w:tcW w:type="dxa" w:w="5032"/>
            <w:shd w:fill="D9EAF7"/>
          </w:tcPr>
          <w:p>
            <w:pPr>
              <w:keepNext/>
              <w:jc w:val="center"/>
            </w:pPr>
            <w:r>
              <w:rPr>
                <w:rFonts w:ascii="Aptos" w:hAnsi="Aptos"/>
                <w:b/>
                <w:i w:val="0"/>
                <w:color w:val="1F4E79"/>
                <w:sz w:val="16"/>
              </w:rPr>
              <w:t>O QUE A PASSAGEM MOSTRA</w:t>
            </w:r>
          </w:p>
        </w:tc>
      </w:tr>
      <w:tr>
        <w:trPr>
          <w:cantSplit/>
        </w:trPr>
        <w:tc>
          <w:tcPr>
            <w:tcW w:type="dxa" w:w="5032"/>
          </w:tcPr>
          <w:p>
            <w:pPr>
              <w:spacing w:after="0"/>
            </w:pPr>
            <w:r>
              <w:rPr>
                <w:rFonts w:ascii="Aptos" w:hAnsi="Aptos"/>
                <w:b w:val="0"/>
                <w:i w:val="0"/>
                <w:sz w:val="16"/>
              </w:rPr>
              <w:t>Génesis 46:26</w:t>
            </w:r>
          </w:p>
        </w:tc>
        <w:tc>
          <w:tcPr>
            <w:tcW w:type="dxa" w:w="5032"/>
          </w:tcPr>
          <w:p>
            <w:pPr>
              <w:spacing w:after="0"/>
            </w:pPr>
            <w:r>
              <w:rPr>
                <w:rFonts w:ascii="Aptos" w:hAnsi="Aptos"/>
                <w:b w:val="0"/>
                <w:i w:val="0"/>
                <w:sz w:val="16"/>
              </w:rPr>
              <w:t>«Todas as almas» refere-se às pessoas da família de Jacob.</w:t>
            </w:r>
          </w:p>
        </w:tc>
      </w:tr>
      <w:tr>
        <w:trPr>
          <w:cantSplit/>
        </w:trPr>
        <w:tc>
          <w:tcPr>
            <w:tcW w:type="dxa" w:w="5032"/>
          </w:tcPr>
          <w:p>
            <w:pPr>
              <w:spacing w:after="0"/>
            </w:pPr>
            <w:r>
              <w:rPr>
                <w:rFonts w:ascii="Aptos" w:hAnsi="Aptos"/>
                <w:b w:val="0"/>
                <w:i w:val="0"/>
                <w:sz w:val="16"/>
              </w:rPr>
              <w:t>Levítico 5:17</w:t>
            </w:r>
          </w:p>
        </w:tc>
        <w:tc>
          <w:tcPr>
            <w:tcW w:type="dxa" w:w="5032"/>
          </w:tcPr>
          <w:p>
            <w:pPr>
              <w:spacing w:after="0"/>
            </w:pPr>
            <w:r>
              <w:rPr>
                <w:rFonts w:ascii="Aptos" w:hAnsi="Aptos"/>
                <w:b w:val="0"/>
                <w:i w:val="0"/>
                <w:sz w:val="16"/>
              </w:rPr>
              <w:t>Uma «alma» pode pecar — a palavra refere-se à pessoa que comete a ofensa.</w:t>
            </w:r>
          </w:p>
        </w:tc>
      </w:tr>
      <w:tr>
        <w:trPr>
          <w:cantSplit/>
        </w:trPr>
        <w:tc>
          <w:tcPr>
            <w:tcW w:type="dxa" w:w="5032"/>
          </w:tcPr>
          <w:p>
            <w:pPr>
              <w:spacing w:after="0"/>
            </w:pPr>
            <w:r>
              <w:rPr>
                <w:rFonts w:ascii="Aptos" w:hAnsi="Aptos"/>
                <w:b w:val="0"/>
                <w:i w:val="0"/>
                <w:sz w:val="16"/>
              </w:rPr>
              <w:t>Ezequiel 18:4,20</w:t>
            </w:r>
          </w:p>
        </w:tc>
        <w:tc>
          <w:tcPr>
            <w:tcW w:type="dxa" w:w="5032"/>
          </w:tcPr>
          <w:p>
            <w:pPr>
              <w:spacing w:after="0"/>
            </w:pPr>
            <w:r>
              <w:rPr>
                <w:rFonts w:ascii="Aptos" w:hAnsi="Aptos"/>
                <w:b w:val="0"/>
                <w:i w:val="0"/>
                <w:sz w:val="16"/>
              </w:rPr>
              <w:t>A Escritura diz: «a alma que pecar, essa morrerá».</w:t>
            </w:r>
          </w:p>
        </w:tc>
      </w:tr>
      <w:tr>
        <w:trPr>
          <w:cantSplit/>
        </w:trPr>
        <w:tc>
          <w:tcPr>
            <w:tcW w:type="dxa" w:w="5032"/>
          </w:tcPr>
          <w:p>
            <w:pPr>
              <w:spacing w:after="0"/>
            </w:pPr>
            <w:r>
              <w:rPr>
                <w:rFonts w:ascii="Aptos" w:hAnsi="Aptos"/>
                <w:b w:val="0"/>
                <w:i w:val="0"/>
                <w:sz w:val="16"/>
              </w:rPr>
              <w:t>Atos 27:37</w:t>
            </w:r>
          </w:p>
        </w:tc>
        <w:tc>
          <w:tcPr>
            <w:tcW w:type="dxa" w:w="5032"/>
          </w:tcPr>
          <w:p>
            <w:pPr>
              <w:spacing w:after="0"/>
            </w:pPr>
            <w:r>
              <w:rPr>
                <w:rFonts w:ascii="Aptos" w:hAnsi="Aptos"/>
                <w:b w:val="0"/>
                <w:i w:val="0"/>
                <w:sz w:val="16"/>
              </w:rPr>
              <w:t>Havia 276 «almas» no navio — isto é, 276 pessoas.</w:t>
            </w:r>
          </w:p>
        </w:tc>
      </w:tr>
    </w:tbl>
    <w:p>
      <w:pPr>
        <w:spacing w:after="28" w:line="233" w:lineRule="auto"/>
      </w:pPr>
      <w:r>
        <w:rPr>
          <w:rFonts w:ascii="Aptos" w:hAnsi="Aptos"/>
          <w:b w:val="0"/>
          <w:i w:val="0"/>
          <w:sz w:val="18"/>
        </w:rPr>
        <w:t>A mesma ideia básica de criatura viva é usada também no relato da criação para a vida animal. A questão não é que cada ocorrência da palavra tenha exatamente o mesmo sentido, mas que a Bíblia não usa «alma» como termo técnico para uma entidade inerentemente imortal.</w:t>
      </w:r>
    </w:p>
    <w:p>
      <w:pPr>
        <w:keepNext/>
        <w:spacing w:before="52" w:after="20"/>
      </w:pPr>
      <w:r>
        <w:rPr>
          <w:rFonts w:ascii="Aptos" w:hAnsi="Aptos"/>
          <w:b/>
          <w:i w:val="0"/>
          <w:color w:val="1F4E79"/>
          <w:sz w:val="24"/>
        </w:rPr>
        <w:t>«A alma que pecar, essa morrerá»</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«Eis que todas as almas são minhas; como o é a alma do pai, assim também a alma do filho é minha; a alma que pecar, essa morrerá.»</w:t>
            </w:r>
          </w:p>
          <w:p>
            <w:pPr>
              <w:spacing w:after="0"/>
            </w:pPr>
            <w:r>
              <w:rPr>
                <w:rFonts w:ascii="Aptos" w:hAnsi="Aptos"/>
                <w:b/>
                <w:i w:val="0"/>
                <w:color w:val="333333"/>
                <w:sz w:val="16"/>
              </w:rPr>
              <w:t>Ezequiel 18:4  •  King James Version</w:t>
            </w:r>
          </w:p>
        </w:tc>
      </w:tr>
    </w:tbl>
    <w:p>
      <w:pPr>
        <w:spacing w:after="28" w:line="233" w:lineRule="auto"/>
      </w:pPr>
      <w:r>
        <w:rPr>
          <w:rFonts w:ascii="Aptos" w:hAnsi="Aptos"/>
          <w:b w:val="0"/>
          <w:i w:val="0"/>
          <w:sz w:val="18"/>
        </w:rPr>
        <w:t>Isto é especialmente claro: uma «alma» pode morrer. Isso é incompatível com a ideia de que todo ser humano possui uma alma naturalmente imortal que tem de continuar consciente para sempre.</w:t>
      </w:r>
    </w:p>
    <w:p>
      <w:pPr>
        <w:keepNext/>
        <w:spacing w:before="52" w:after="20"/>
      </w:pPr>
      <w:r>
        <w:rPr>
          <w:rFonts w:ascii="Aptos" w:hAnsi="Aptos"/>
          <w:b/>
          <w:i w:val="0"/>
          <w:color w:val="1F4E79"/>
          <w:sz w:val="24"/>
        </w:rPr>
        <w:t>Humanos e animais regressam ambos ao pó</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«Porque o que sucede aos filhos dos homens, isso mesmo também sucede aos animais ... como morre um, assim morre o outro; e todos têm o mesmo fôlego ... Todos vão para um lugar; todos foram feitos do pó, e todos voltarão ao pó.»</w:t>
            </w:r>
          </w:p>
          <w:p>
            <w:pPr>
              <w:spacing w:after="0"/>
            </w:pPr>
            <w:r>
              <w:rPr>
                <w:rFonts w:ascii="Aptos" w:hAnsi="Aptos"/>
                <w:b/>
                <w:i w:val="0"/>
                <w:color w:val="333333"/>
                <w:sz w:val="16"/>
              </w:rPr>
              <w:t>Eclesiastes 3:19-20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8"/>
            </w:pPr>
            <w:r>
              <w:rPr>
                <w:rFonts w:ascii="Aptos" w:hAnsi="Aptos"/>
                <w:b/>
                <w:i w:val="0"/>
                <w:color w:val="1F4E79"/>
                <w:sz w:val="19"/>
              </w:rPr>
              <w:t>Uma conclusão Cristadelfiana</w:t>
            </w:r>
          </w:p>
          <w:p>
            <w:pPr>
              <w:spacing w:after="0"/>
            </w:pPr>
            <w:r>
              <w:rPr>
                <w:rFonts w:ascii="Aptos" w:hAnsi="Aptos"/>
                <w:b w:val="0"/>
                <w:i w:val="0"/>
                <w:sz w:val="18"/>
              </w:rPr>
              <w:t>Os Cristadelfianos rejeitam portanto a doutrina de uma alma imortal que permanece conscientemente viva depois da morte do corpo. A nossa esperança de vida futura depende antes da ressurreição por Deus.</w:t>
            </w:r>
          </w:p>
        </w:tc>
      </w:tr>
    </w:tbl>
    <w:p>
      <w:pPr>
        <w:keepNext/>
        <w:spacing w:before="52" w:after="20"/>
      </w:pPr>
      <w:r>
        <w:rPr>
          <w:rFonts w:ascii="Aptos" w:hAnsi="Aptos"/>
          <w:b/>
          <w:i w:val="0"/>
          <w:color w:val="1F4E79"/>
          <w:sz w:val="24"/>
        </w:rPr>
        <w:t>O que acontece quando uma pessoa morre?</w:t>
      </w:r>
    </w:p>
    <w:p>
      <w:pPr>
        <w:spacing w:after="28" w:line="233" w:lineRule="auto"/>
      </w:pPr>
      <w:r>
        <w:rPr>
          <w:rFonts w:ascii="Aptos" w:hAnsi="Aptos"/>
          <w:b w:val="0"/>
          <w:i w:val="0"/>
          <w:sz w:val="18"/>
        </w:rPr>
        <w:t>A Bíblia descreve repetidamente a morte como estado em que o pensamento humano normal, a atividade e o louvor cessam. A lição original reúne várias passagens:</w:t>
      </w:r>
    </w:p>
    <w:tbl>
      <w:tblPr>
        <w:tblStyle w:val="TableGrid"/>
        <w:tblW w:type="auto" w:w="0"/>
        <w:jc w:val="center"/>
        <w:tblLook w:firstColumn="1" w:firstRow="1" w:lastColumn="0" w:lastRow="0" w:noHBand="0" w:noVBand="1" w:val="04A0"/>
      </w:tblPr>
      <w:tblGrid>
        <w:gridCol w:w="3355"/>
        <w:gridCol w:w="3355"/>
        <w:gridCol w:w="3355"/>
      </w:tblGrid>
      <w:tr>
        <w:trPr>
          <w:cantSplit/>
        </w:trPr>
        <w:tc>
          <w:tcPr>
            <w:tcW w:type="dxa" w:w="3355"/>
            <w:shd w:fill="D9EAF7"/>
          </w:tcPr>
          <w:p>
            <w:pPr>
              <w:keepNext/>
              <w:jc w:val="center"/>
            </w:pPr>
            <w:r>
              <w:rPr>
                <w:rFonts w:ascii="Aptos" w:hAnsi="Aptos"/>
                <w:b/>
                <w:i w:val="0"/>
                <w:color w:val="1F4E79"/>
                <w:sz w:val="15"/>
              </w:rPr>
              <w:t>REFERÊNCIA</w:t>
            </w:r>
          </w:p>
        </w:tc>
        <w:tc>
          <w:tcPr>
            <w:tcW w:type="dxa" w:w="3355"/>
            <w:shd w:fill="D9EAF7"/>
          </w:tcPr>
          <w:p>
            <w:pPr>
              <w:keepNext/>
              <w:jc w:val="center"/>
            </w:pPr>
            <w:r>
              <w:rPr>
                <w:rFonts w:ascii="Aptos" w:hAnsi="Aptos"/>
                <w:b/>
                <w:i w:val="0"/>
                <w:color w:val="1F4E79"/>
                <w:sz w:val="15"/>
              </w:rPr>
              <w:t>PALAVRAS DA KJV</w:t>
            </w:r>
          </w:p>
        </w:tc>
        <w:tc>
          <w:tcPr>
            <w:tcW w:type="dxa" w:w="3355"/>
            <w:shd w:fill="D9EAF7"/>
          </w:tcPr>
          <w:p>
            <w:pPr>
              <w:keepNext/>
              <w:jc w:val="center"/>
            </w:pPr>
            <w:r>
              <w:rPr>
                <w:rFonts w:ascii="Aptos" w:hAnsi="Aptos"/>
                <w:b/>
                <w:i w:val="0"/>
                <w:color w:val="1F4E79"/>
                <w:sz w:val="15"/>
              </w:rPr>
              <w:t>PONTO</w:t>
            </w:r>
          </w:p>
        </w:tc>
      </w:tr>
      <w:tr>
        <w:trPr>
          <w:cantSplit/>
        </w:trPr>
        <w:tc>
          <w:tcPr>
            <w:tcW w:type="dxa" w:w="3355"/>
          </w:tcPr>
          <w:p>
            <w:pPr>
              <w:spacing w:after="0"/>
            </w:pPr>
            <w:r>
              <w:rPr>
                <w:rFonts w:ascii="Aptos" w:hAnsi="Aptos"/>
                <w:b w:val="0"/>
                <w:i w:val="0"/>
                <w:sz w:val="15"/>
              </w:rPr>
              <w:t>Salmo 146:4</w:t>
            </w:r>
          </w:p>
        </w:tc>
        <w:tc>
          <w:tcPr>
            <w:tcW w:type="dxa" w:w="3355"/>
          </w:tcPr>
          <w:p>
            <w:pPr>
              <w:spacing w:after="0"/>
            </w:pPr>
            <w:r>
              <w:rPr>
                <w:rFonts w:ascii="Aptos" w:hAnsi="Aptos"/>
                <w:b w:val="0"/>
                <w:i w:val="0"/>
                <w:sz w:val="15"/>
              </w:rPr>
              <w:t>«Naquele mesmo dia perecem os seus pensamentos.»</w:t>
            </w:r>
          </w:p>
        </w:tc>
        <w:tc>
          <w:tcPr>
            <w:tcW w:type="dxa" w:w="3355"/>
          </w:tcPr>
          <w:p>
            <w:pPr>
              <w:spacing w:after="0"/>
            </w:pPr>
            <w:r>
              <w:rPr>
                <w:rFonts w:ascii="Aptos" w:hAnsi="Aptos"/>
                <w:b w:val="0"/>
                <w:i w:val="0"/>
                <w:sz w:val="15"/>
              </w:rPr>
              <w:t>O pensamento humano cessa na morte.</w:t>
            </w:r>
          </w:p>
        </w:tc>
      </w:tr>
      <w:tr>
        <w:trPr>
          <w:cantSplit/>
        </w:trPr>
        <w:tc>
          <w:tcPr>
            <w:tcW w:type="dxa" w:w="3355"/>
          </w:tcPr>
          <w:p>
            <w:pPr>
              <w:spacing w:after="0"/>
            </w:pPr>
            <w:r>
              <w:rPr>
                <w:rFonts w:ascii="Aptos" w:hAnsi="Aptos"/>
                <w:b w:val="0"/>
                <w:i w:val="0"/>
                <w:sz w:val="15"/>
              </w:rPr>
              <w:t>Eclesiastes 9:5</w:t>
            </w:r>
          </w:p>
        </w:tc>
        <w:tc>
          <w:tcPr>
            <w:tcW w:type="dxa" w:w="3355"/>
          </w:tcPr>
          <w:p>
            <w:pPr>
              <w:spacing w:after="0"/>
            </w:pPr>
            <w:r>
              <w:rPr>
                <w:rFonts w:ascii="Aptos" w:hAnsi="Aptos"/>
                <w:b w:val="0"/>
                <w:i w:val="0"/>
                <w:sz w:val="15"/>
              </w:rPr>
              <w:t>«Os mortos não sabem coisa nenhuma.»</w:t>
            </w:r>
          </w:p>
        </w:tc>
        <w:tc>
          <w:tcPr>
            <w:tcW w:type="dxa" w:w="3355"/>
          </w:tcPr>
          <w:p>
            <w:pPr>
              <w:spacing w:after="0"/>
            </w:pPr>
            <w:r>
              <w:rPr>
                <w:rFonts w:ascii="Aptos" w:hAnsi="Aptos"/>
                <w:b w:val="0"/>
                <w:i w:val="0"/>
                <w:sz w:val="15"/>
              </w:rPr>
              <w:t>Os mortos não são descritos como observando conscientemente a vida.</w:t>
            </w:r>
          </w:p>
        </w:tc>
      </w:tr>
      <w:tr>
        <w:trPr>
          <w:cantSplit/>
        </w:trPr>
        <w:tc>
          <w:tcPr>
            <w:tcW w:type="dxa" w:w="3355"/>
          </w:tcPr>
          <w:p>
            <w:pPr>
              <w:spacing w:after="0"/>
            </w:pPr>
            <w:r>
              <w:rPr>
                <w:rFonts w:ascii="Aptos" w:hAnsi="Aptos"/>
                <w:b w:val="0"/>
                <w:i w:val="0"/>
                <w:sz w:val="15"/>
              </w:rPr>
              <w:t>Salmo 6:5</w:t>
            </w:r>
          </w:p>
        </w:tc>
        <w:tc>
          <w:tcPr>
            <w:tcW w:type="dxa" w:w="3355"/>
          </w:tcPr>
          <w:p>
            <w:pPr>
              <w:spacing w:after="0"/>
            </w:pPr>
            <w:r>
              <w:rPr>
                <w:rFonts w:ascii="Aptos" w:hAnsi="Aptos"/>
                <w:b w:val="0"/>
                <w:i w:val="0"/>
                <w:sz w:val="15"/>
              </w:rPr>
              <w:t>«Na morte não há lembrança de ti.»</w:t>
            </w:r>
          </w:p>
        </w:tc>
        <w:tc>
          <w:tcPr>
            <w:tcW w:type="dxa" w:w="3355"/>
          </w:tcPr>
          <w:p>
            <w:pPr>
              <w:spacing w:after="0"/>
            </w:pPr>
            <w:r>
              <w:rPr>
                <w:rFonts w:ascii="Aptos" w:hAnsi="Aptos"/>
                <w:b w:val="0"/>
                <w:i w:val="0"/>
                <w:sz w:val="15"/>
              </w:rPr>
              <w:t>A morte é contrastada com louvor consciente a Deus.</w:t>
            </w:r>
          </w:p>
        </w:tc>
      </w:tr>
      <w:tr>
        <w:trPr>
          <w:cantSplit/>
        </w:trPr>
        <w:tc>
          <w:tcPr>
            <w:tcW w:type="dxa" w:w="3355"/>
          </w:tcPr>
          <w:p>
            <w:pPr>
              <w:spacing w:after="0"/>
            </w:pPr>
            <w:r>
              <w:rPr>
                <w:rFonts w:ascii="Aptos" w:hAnsi="Aptos"/>
                <w:b w:val="0"/>
                <w:i w:val="0"/>
                <w:sz w:val="15"/>
              </w:rPr>
              <w:t>Salmo 115:17</w:t>
            </w:r>
          </w:p>
        </w:tc>
        <w:tc>
          <w:tcPr>
            <w:tcW w:type="dxa" w:w="3355"/>
          </w:tcPr>
          <w:p>
            <w:pPr>
              <w:spacing w:after="0"/>
            </w:pPr>
            <w:r>
              <w:rPr>
                <w:rFonts w:ascii="Aptos" w:hAnsi="Aptos"/>
                <w:b w:val="0"/>
                <w:i w:val="0"/>
                <w:sz w:val="15"/>
              </w:rPr>
              <w:t>«Os mortos não louvam ao SENHOR.»</w:t>
            </w:r>
          </w:p>
        </w:tc>
        <w:tc>
          <w:tcPr>
            <w:tcW w:type="dxa" w:w="3355"/>
          </w:tcPr>
          <w:p>
            <w:pPr>
              <w:spacing w:after="0"/>
            </w:pPr>
            <w:r>
              <w:rPr>
                <w:rFonts w:ascii="Aptos" w:hAnsi="Aptos"/>
                <w:b w:val="0"/>
                <w:i w:val="0"/>
                <w:sz w:val="15"/>
              </w:rPr>
              <w:t>O louvor pertence aos vivos.</w:t>
            </w:r>
          </w:p>
        </w:tc>
      </w:tr>
    </w:tbl>
    <w:p>
      <w:pPr>
        <w:keepNext/>
        <w:spacing w:before="52" w:after="20"/>
      </w:pPr>
      <w:r>
        <w:rPr>
          <w:rFonts w:ascii="Aptos" w:hAnsi="Aptos"/>
          <w:b/>
          <w:i w:val="0"/>
          <w:color w:val="1F4E79"/>
          <w:sz w:val="24"/>
        </w:rPr>
        <w:t>Ezequias compreendia assim a morte</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«Porque não te louvará a sepultura, nem a morte te glorificará; nem esperarão em tua verdade os que descem à cova.»</w:t>
            </w:r>
          </w:p>
          <w:p>
            <w:pPr>
              <w:spacing w:after="0"/>
            </w:pPr>
            <w:r>
              <w:rPr>
                <w:rFonts w:ascii="Aptos" w:hAnsi="Aptos"/>
                <w:b/>
                <w:i w:val="0"/>
                <w:color w:val="333333"/>
                <w:sz w:val="16"/>
              </w:rPr>
              <w:t>Isaías 38:18  •  King James Version</w:t>
            </w:r>
          </w:p>
        </w:tc>
      </w:tr>
    </w:tbl>
    <w:p>
      <w:pPr>
        <w:spacing w:after="28" w:line="233" w:lineRule="auto"/>
      </w:pPr>
      <w:r>
        <w:rPr>
          <w:rFonts w:ascii="Aptos" w:hAnsi="Aptos"/>
          <w:b w:val="0"/>
          <w:i w:val="0"/>
          <w:sz w:val="18"/>
        </w:rPr>
        <w:t>Depois contrastou isto com os vivos: «O vivente, o vivente, esse te louvará» (Isaías 38:19).</w:t>
      </w:r>
    </w:p>
    <w:p>
      <w:pPr>
        <w:keepNext/>
        <w:spacing w:before="52" w:after="20"/>
      </w:pPr>
      <w:r>
        <w:rPr>
          <w:rFonts w:ascii="Aptos" w:hAnsi="Aptos"/>
          <w:b/>
          <w:i w:val="0"/>
          <w:color w:val="1F4E79"/>
          <w:sz w:val="24"/>
        </w:rPr>
        <w:t>David não subiu ao céu</w:t>
      </w:r>
    </w:p>
    <w:p>
      <w:pPr>
        <w:spacing w:after="28" w:line="233" w:lineRule="auto"/>
      </w:pPr>
      <w:r>
        <w:rPr>
          <w:rFonts w:ascii="Aptos" w:hAnsi="Aptos"/>
          <w:b w:val="0"/>
          <w:i w:val="0"/>
          <w:sz w:val="18"/>
        </w:rPr>
        <w:t>David foi um servo fiel de Deus, mas Pedro disse claramente depois da ressurreição e ascensão de Jesus: «Porque David não subiu aos céus» (Atos 2:34). A esperança bíblica para David e outros fiéis é a ressurreição, não uma alma imortal deixando o corpo na morte.</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8"/>
            </w:pPr>
            <w:r>
              <w:rPr>
                <w:rFonts w:ascii="Aptos" w:hAnsi="Aptos"/>
                <w:b/>
                <w:i w:val="0"/>
                <w:color w:val="1F4E79"/>
                <w:sz w:val="19"/>
              </w:rPr>
              <w:t>Porque isto importa</w:t>
            </w:r>
          </w:p>
          <w:p>
            <w:pPr>
              <w:spacing w:after="0"/>
            </w:pPr>
            <w:r>
              <w:rPr>
                <w:rFonts w:ascii="Aptos" w:hAnsi="Aptos"/>
                <w:b w:val="0"/>
                <w:i w:val="0"/>
                <w:sz w:val="18"/>
              </w:rPr>
              <w:t>Se os seres humanos já possuíssem vida consciente indestrutível, a ressurreição não seria a resposta essencial da Bíblia à morte. A Escritura apresenta antes a vida eterna como dádiva de Deus, tornada possível pelo Senhor Jesus Cristo.</w:t>
            </w:r>
          </w:p>
        </w:tc>
      </w:tr>
    </w:tbl>
    <w:p>
      <w:pPr>
        <w:keepNext/>
        <w:spacing w:before="52" w:after="20"/>
      </w:pPr>
      <w:r>
        <w:rPr>
          <w:rFonts w:ascii="Aptos" w:hAnsi="Aptos"/>
          <w:b/>
          <w:i w:val="0"/>
          <w:color w:val="1F4E79"/>
          <w:sz w:val="24"/>
        </w:rPr>
        <w:t>A morte não é o fim do propósito de Deus</w:t>
      </w:r>
    </w:p>
    <w:p>
      <w:pPr>
        <w:spacing w:after="28" w:line="233" w:lineRule="auto"/>
      </w:pPr>
      <w:r>
        <w:rPr>
          <w:rFonts w:ascii="Aptos" w:hAnsi="Aptos"/>
          <w:b w:val="0"/>
          <w:i w:val="0"/>
          <w:sz w:val="18"/>
        </w:rPr>
        <w:t>Esta lição concentra-se na consequência do pecado de Adão: mortalidade e morte. Mas a Bíblia não nos deixa sem esperança. O Evangelho centra-se na ressurreição de Jesus e na promessa de que os que lhe pertencem podem ser ressuscitados quando ele regressar.</w:t>
      </w:r>
    </w:p>
    <w:p>
      <w:pPr>
        <w:spacing w:after="28" w:line="233" w:lineRule="auto"/>
      </w:pPr>
      <w:r>
        <w:rPr>
          <w:rFonts w:ascii="Aptos" w:hAnsi="Aptos"/>
          <w:b w:val="0"/>
          <w:i w:val="0"/>
          <w:sz w:val="18"/>
        </w:rPr>
        <w:t>Compreender a morte ajuda-nos a apreciar porque a morte e ressurreição de Jesus são tão importantes. A vida eterna não é algo que possuímos naturalmente. É algo que Deus dá.</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8"/>
            </w:pPr>
            <w:r>
              <w:rPr>
                <w:rFonts w:ascii="Aptos" w:hAnsi="Aptos"/>
                <w:b/>
                <w:i w:val="0"/>
                <w:color w:val="1F4E79"/>
                <w:sz w:val="19"/>
              </w:rPr>
              <w:t>A esperança da Bíblia</w:t>
            </w:r>
          </w:p>
          <w:p>
            <w:pPr>
              <w:spacing w:after="0"/>
            </w:pPr>
            <w:r>
              <w:rPr>
                <w:rFonts w:ascii="Aptos" w:hAnsi="Aptos"/>
                <w:b w:val="0"/>
                <w:i w:val="0"/>
                <w:sz w:val="18"/>
              </w:rPr>
              <w:t>A nossa esperança não é que uma alma imortal sobreviva à morte, mas que Deus se lembre dos Seus servos e ressuscite os mortos. A Parte II continuará o tema do pecado e das suas consequências e do caminho de salvação providenciado por Deus.</w:t>
            </w:r>
          </w:p>
        </w:tc>
      </w:tr>
    </w:tbl>
    <w:p>
      <w:pPr>
        <w:keepNext/>
        <w:spacing w:before="52" w:after="20"/>
      </w:pPr>
      <w:r>
        <w:rPr>
          <w:rFonts w:ascii="Aptos" w:hAnsi="Aptos"/>
          <w:b/>
          <w:i w:val="0"/>
          <w:color w:val="1F4E79"/>
          <w:sz w:val="24"/>
        </w:rPr>
        <w:t>RESUMO</w:t>
      </w:r>
    </w:p>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pPr>
            <w:r>
              <w:rPr>
                <w:rFonts w:ascii="Aptos" w:hAnsi="Aptos"/>
                <w:b/>
                <w:i w:val="0"/>
                <w:color w:val="1F4E79"/>
                <w:sz w:val="17"/>
              </w:rPr>
              <w:t>1</w:t>
            </w:r>
          </w:p>
        </w:tc>
        <w:tc>
          <w:tcPr>
            <w:tcW w:type="dxa" w:w="5032"/>
          </w:tcPr>
          <w:p>
            <w:r>
              <w:rPr>
                <w:rFonts w:ascii="Aptos" w:hAnsi="Aptos"/>
                <w:b/>
                <w:i w:val="0"/>
                <w:color w:val="1F4E79"/>
                <w:sz w:val="17"/>
              </w:rPr>
              <w:t>Deus criou diretamente Adão.</w:t>
            </w:r>
          </w:p>
          <w:p>
            <w:pPr>
              <w:spacing w:after="0" w:line="216" w:lineRule="auto"/>
            </w:pPr>
            <w:r>
              <w:rPr>
                <w:rFonts w:ascii="Aptos" w:hAnsi="Aptos"/>
                <w:b w:val="0"/>
                <w:i w:val="0"/>
                <w:sz w:val="16"/>
              </w:rPr>
              <w:t>Formou-o do pó da terra e deu-lhe o fôlego da vida.</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pPr>
            <w:r>
              <w:rPr>
                <w:rFonts w:ascii="Aptos" w:hAnsi="Aptos"/>
                <w:b/>
                <w:i w:val="0"/>
                <w:color w:val="1F4E79"/>
                <w:sz w:val="17"/>
              </w:rPr>
              <w:t>2</w:t>
            </w:r>
          </w:p>
        </w:tc>
        <w:tc>
          <w:tcPr>
            <w:tcW w:type="dxa" w:w="5032"/>
          </w:tcPr>
          <w:p>
            <w:r>
              <w:rPr>
                <w:rFonts w:ascii="Aptos" w:hAnsi="Aptos"/>
                <w:b/>
                <w:i w:val="0"/>
                <w:color w:val="1F4E79"/>
                <w:sz w:val="17"/>
              </w:rPr>
              <w:t>Adão e Eva receberam uma escolha real.</w:t>
            </w:r>
          </w:p>
          <w:p>
            <w:pPr>
              <w:spacing w:after="0" w:line="216" w:lineRule="auto"/>
            </w:pPr>
            <w:r>
              <w:rPr>
                <w:rFonts w:ascii="Aptos" w:hAnsi="Aptos"/>
                <w:b w:val="0"/>
                <w:i w:val="0"/>
                <w:sz w:val="16"/>
              </w:rPr>
              <w:t>Deus ordenou-lhes que não comessem da árvore do conhecimento do bem e do mal.</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pPr>
            <w:r>
              <w:rPr>
                <w:rFonts w:ascii="Aptos" w:hAnsi="Aptos"/>
                <w:b/>
                <w:i w:val="0"/>
                <w:color w:val="1F4E79"/>
                <w:sz w:val="17"/>
              </w:rPr>
              <w:t>3</w:t>
            </w:r>
          </w:p>
        </w:tc>
        <w:tc>
          <w:tcPr>
            <w:tcW w:type="dxa" w:w="5032"/>
          </w:tcPr>
          <w:p>
            <w:r>
              <w:rPr>
                <w:rFonts w:ascii="Aptos" w:hAnsi="Aptos"/>
                <w:b/>
                <w:i w:val="0"/>
                <w:color w:val="1F4E79"/>
                <w:sz w:val="17"/>
              </w:rPr>
              <w:t>Desobedeceram a Deus.</w:t>
            </w:r>
          </w:p>
          <w:p>
            <w:pPr>
              <w:spacing w:after="0" w:line="216" w:lineRule="auto"/>
            </w:pPr>
            <w:r>
              <w:rPr>
                <w:rFonts w:ascii="Aptos" w:hAnsi="Aptos"/>
                <w:b w:val="0"/>
                <w:i w:val="0"/>
                <w:sz w:val="16"/>
              </w:rPr>
              <w:t>O pecado deles trouxe mortalidade e morte à experiência humana.</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pPr>
            <w:r>
              <w:rPr>
                <w:rFonts w:ascii="Aptos" w:hAnsi="Aptos"/>
                <w:b/>
                <w:i w:val="0"/>
                <w:color w:val="1F4E79"/>
                <w:sz w:val="17"/>
              </w:rPr>
              <w:t>4</w:t>
            </w:r>
          </w:p>
        </w:tc>
        <w:tc>
          <w:tcPr>
            <w:tcW w:type="dxa" w:w="5032"/>
          </w:tcPr>
          <w:p>
            <w:r>
              <w:rPr>
                <w:rFonts w:ascii="Aptos" w:hAnsi="Aptos"/>
                <w:b/>
                <w:i w:val="0"/>
                <w:color w:val="1F4E79"/>
                <w:sz w:val="17"/>
              </w:rPr>
              <w:t>Todos os seres humanos são mortais e todos pecam.</w:t>
            </w:r>
          </w:p>
          <w:p>
            <w:pPr>
              <w:spacing w:after="0" w:line="216" w:lineRule="auto"/>
            </w:pPr>
            <w:r>
              <w:rPr>
                <w:rFonts w:ascii="Aptos" w:hAnsi="Aptos"/>
                <w:b w:val="0"/>
                <w:i w:val="0"/>
                <w:sz w:val="16"/>
              </w:rPr>
              <w:t>Romanos 5 liga a morte a Adão e afirma também que todos pecaram.</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pPr>
            <w:r>
              <w:rPr>
                <w:rFonts w:ascii="Aptos" w:hAnsi="Aptos"/>
                <w:b/>
                <w:i w:val="0"/>
                <w:color w:val="1F4E79"/>
                <w:sz w:val="17"/>
              </w:rPr>
              <w:t>5</w:t>
            </w:r>
          </w:p>
        </w:tc>
        <w:tc>
          <w:tcPr>
            <w:tcW w:type="dxa" w:w="5032"/>
          </w:tcPr>
          <w:p>
            <w:r>
              <w:rPr>
                <w:rFonts w:ascii="Aptos" w:hAnsi="Aptos"/>
                <w:b/>
                <w:i w:val="0"/>
                <w:color w:val="1F4E79"/>
                <w:sz w:val="17"/>
              </w:rPr>
              <w:t>«Alma» não significa uma entidade imortal.</w:t>
            </w:r>
          </w:p>
          <w:p>
            <w:pPr>
              <w:spacing w:after="0" w:line="216" w:lineRule="auto"/>
            </w:pPr>
            <w:r>
              <w:rPr>
                <w:rFonts w:ascii="Aptos" w:hAnsi="Aptos"/>
                <w:b w:val="0"/>
                <w:i w:val="0"/>
                <w:sz w:val="16"/>
              </w:rPr>
              <w:t>Em muitas passagens da KJV refere-se a pessoa ou criatura viva, e a Escritura pode falar de uma alma que morre.</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pPr>
            <w:r>
              <w:rPr>
                <w:rFonts w:ascii="Aptos" w:hAnsi="Aptos"/>
                <w:b/>
                <w:i w:val="0"/>
                <w:color w:val="1F4E79"/>
                <w:sz w:val="17"/>
              </w:rPr>
              <w:t>6</w:t>
            </w:r>
          </w:p>
        </w:tc>
        <w:tc>
          <w:tcPr>
            <w:tcW w:type="dxa" w:w="5032"/>
          </w:tcPr>
          <w:p>
            <w:r>
              <w:rPr>
                <w:rFonts w:ascii="Aptos" w:hAnsi="Aptos"/>
                <w:b/>
                <w:i w:val="0"/>
                <w:color w:val="1F4E79"/>
                <w:sz w:val="17"/>
              </w:rPr>
              <w:t>A morte é um estado inconsciente.</w:t>
            </w:r>
          </w:p>
          <w:p>
            <w:pPr>
              <w:spacing w:after="0" w:line="216" w:lineRule="auto"/>
            </w:pPr>
            <w:r>
              <w:rPr>
                <w:rFonts w:ascii="Aptos" w:hAnsi="Aptos"/>
                <w:b w:val="0"/>
                <w:i w:val="0"/>
                <w:sz w:val="16"/>
              </w:rPr>
              <w:t>Os mortos não pensam, não louvam a Deus nem continuam atividade consciente normal.</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pPr>
            <w:r>
              <w:rPr>
                <w:rFonts w:ascii="Aptos" w:hAnsi="Aptos"/>
                <w:b/>
                <w:i w:val="0"/>
                <w:color w:val="1F4E79"/>
                <w:sz w:val="17"/>
              </w:rPr>
              <w:t>7</w:t>
            </w:r>
          </w:p>
        </w:tc>
        <w:tc>
          <w:tcPr>
            <w:tcW w:type="dxa" w:w="5032"/>
          </w:tcPr>
          <w:p>
            <w:r>
              <w:rPr>
                <w:rFonts w:ascii="Aptos" w:hAnsi="Aptos"/>
                <w:b/>
                <w:i w:val="0"/>
                <w:color w:val="1F4E79"/>
                <w:sz w:val="17"/>
              </w:rPr>
              <w:t>A nossa esperança é a ressurreição através de Cristo.</w:t>
            </w:r>
          </w:p>
          <w:p>
            <w:pPr>
              <w:spacing w:after="0" w:line="216" w:lineRule="auto"/>
            </w:pPr>
            <w:r>
              <w:rPr>
                <w:rFonts w:ascii="Aptos" w:hAnsi="Aptos"/>
                <w:b w:val="0"/>
                <w:i w:val="0"/>
                <w:sz w:val="16"/>
              </w:rPr>
              <w:t>A vida eterna é dádiva de Deus, não algo naturalmente possuído por toda pessoa.</w:t>
            </w:r>
          </w:p>
        </w:tc>
      </w:tr>
    </w:tbl>
    <w:p>
      <w:pPr>
        <w:keepNext/>
        <w:spacing w:before="52" w:after="20"/>
      </w:pPr>
      <w:r>
        <w:rPr>
          <w:rFonts w:ascii="Aptos" w:hAnsi="Aptos"/>
          <w:b/>
          <w:i w:val="0"/>
          <w:color w:val="1F4E79"/>
          <w:sz w:val="24"/>
        </w:rPr>
        <w:t>Capítulo para ler</w:t>
      </w:r>
    </w:p>
    <w:p>
      <w:pPr>
        <w:spacing w:after="28" w:line="233" w:lineRule="auto"/>
      </w:pPr>
      <w:r>
        <w:rPr>
          <w:rFonts w:ascii="Aptos" w:hAnsi="Aptos"/>
          <w:b w:val="0"/>
          <w:i w:val="0"/>
          <w:sz w:val="18"/>
        </w:rPr>
        <w:t>Eclesiastes 9  •  rever Génesis 2-3 e Romanos 5:12-21</w:t>
      </w:r>
    </w:p>
    <w:p>
      <w:pPr>
        <w:keepNext/>
        <w:spacing w:before="52" w:after="20"/>
      </w:pPr>
      <w:r>
        <w:rPr>
          <w:rFonts w:ascii="Aptos" w:hAnsi="Aptos"/>
          <w:b/>
          <w:i w:val="0"/>
          <w:color w:val="1F4E79"/>
          <w:sz w:val="24"/>
        </w:rPr>
        <w:t>DECORAR  •  SALMO 146:4</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8"/>
            </w:pPr>
            <w:r>
              <w:rPr>
                <w:rFonts w:ascii="Aptos" w:hAnsi="Aptos"/>
                <w:b w:val="0"/>
                <w:i/>
                <w:sz w:val="18"/>
              </w:rPr>
              <w:t>«Sai-lhe o espírito, volta para a terra; naquele mesmo dia perecem os seus pensamentos.»</w:t>
            </w:r>
          </w:p>
          <w:p>
            <w:pPr>
              <w:spacing w:after="0"/>
            </w:pPr>
            <w:r>
              <w:rPr>
                <w:rFonts w:ascii="Aptos" w:hAnsi="Aptos"/>
                <w:b/>
                <w:i w:val="0"/>
                <w:color w:val="333333"/>
                <w:sz w:val="16"/>
              </w:rPr>
              <w:t>Salmo 146:4  •  King James Version</w:t>
            </w:r>
          </w:p>
        </w:tc>
      </w:tr>
    </w:tbl>
    <w:sectPr w:rsidR="00FC693F" w:rsidRPr="0006063C" w:rsidSect="00034616">
      <w:headerReference w:type="default" r:id="rId9"/>
      <w:footerReference w:type="default" r:id="rId10"/>
      <w:pgSz w:w="11909" w:h="16834"/>
      <w:pgMar w:top="662" w:right="922" w:bottom="691" w:left="9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i w:val="0"/>
        <w:color w:val="1F4E79"/>
        <w:sz w:val="16"/>
      </w:rPr>
      <w:t>CURSO BÍBLICO POR CORRESPONDÊNCIA CRISTADELFIANO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