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w:hAnsi="Aptos" w:eastAsia="Aptos"/>
          <w:b/>
          <w:i w:val="0"/>
          <w:color w:val="1F4E79"/>
          <w:sz w:val="20"/>
        </w:rPr>
        <w:t>LIÇÃO 29</w:t>
      </w:r>
    </w:p>
    <w:p>
      <w:pPr>
        <w:jc w:val="center"/>
      </w:pPr>
      <w:r>
        <w:rPr>
          <w:rFonts w:ascii="Aptos" w:hAnsi="Aptos" w:eastAsia="Aptos"/>
          <w:b/>
          <w:i w:val="0"/>
          <w:color w:val="1F4E79"/>
          <w:sz w:val="37"/>
        </w:rPr>
        <w:t>Demónios e Satanás</w:t>
      </w:r>
    </w:p>
    <w:p>
      <w:pPr>
        <w:spacing w:after="80"/>
        <w:jc w:val="center"/>
      </w:pPr>
      <w:r>
        <w:rPr>
          <w:rFonts w:ascii="Aptos" w:hAnsi="Aptos" w:eastAsia="Aptos"/>
          <w:b/>
          <w:i w:val="0"/>
          <w:color w:val="333333"/>
          <w:sz w:val="20"/>
        </w:rPr>
        <w:t>LEITURA  •  MATEUS 8:14-34</w:t>
      </w:r>
    </w:p>
    <w:p>
      <w:pPr>
        <w:keepNext/>
        <w:spacing w:before="70" w:after="24"/>
      </w:pPr>
      <w:r>
        <w:rPr>
          <w:rFonts w:ascii="Aptos" w:hAnsi="Aptos" w:eastAsia="Aptos"/>
          <w:b/>
          <w:i w:val="0"/>
          <w:color w:val="1F4E79"/>
          <w:sz w:val="24"/>
        </w:rPr>
        <w:t>Leia as palavras da Bíblia no seu contexto</w:t>
      </w:r>
    </w:p>
    <w:p>
      <w:pPr>
        <w:spacing w:after="36" w:line="240" w:lineRule="auto"/>
      </w:pPr>
      <w:r>
        <w:rPr>
          <w:rFonts w:ascii="Aptos" w:hAnsi="Aptos" w:eastAsia="Aptos"/>
          <w:b w:val="0"/>
          <w:i w:val="0"/>
          <w:sz w:val="19"/>
        </w:rPr>
        <w:t>A King James Version usa palavras como «devils», «devil» e «Satan» de maneiras diferentes. Nem todas traduzem a mesma palavra original. Esta lição examina a linguagem dos demónios e a palavra «Satanás»; a Lição 30 considera «o diabo» e o pecado com mais detalhe.</w:t>
      </w:r>
    </w:p>
    <w:p>
      <w:pPr>
        <w:keepNext/>
        <w:spacing w:before="70" w:after="24"/>
      </w:pPr>
      <w:r>
        <w:rPr>
          <w:rFonts w:ascii="Aptos" w:hAnsi="Aptos" w:eastAsia="Aptos"/>
          <w:b/>
          <w:i w:val="0"/>
          <w:color w:val="1F4E79"/>
          <w:sz w:val="24"/>
        </w:rPr>
        <w:t>Estão envolvidas palavras diferentes</w:t>
      </w:r>
    </w:p>
    <w:p>
      <w:pPr>
        <w:spacing w:after="36" w:line="240" w:lineRule="auto"/>
      </w:pPr>
      <w:r>
        <w:rPr>
          <w:rFonts w:ascii="Aptos" w:hAnsi="Aptos" w:eastAsia="Aptos"/>
          <w:b w:val="0"/>
          <w:i w:val="0"/>
          <w:sz w:val="19"/>
        </w:rPr>
        <w:t>O inglês antigo da King James Version pode fazer este assunto parecer mais confuso do que é. Em passagens sobre pessoas «possessas por demónios», o grego normalmente usa o grupo de palavras daimonion. Noutros lugares, «o diabo» normalmente traduz diabolos, que significa caluniador ou acusador. «Satanás» vem de uma palavra que significa adversário ou oponente.</w:t>
      </w:r>
    </w:p>
    <w:tbl>
      <w:tblPr>
        <w:tblStyle w:val="TableGrid"/>
        <w:tblW w:type="auto" w:w="0"/>
        <w:jc w:val="center"/>
        <w:tblLook w:firstColumn="1" w:firstRow="1" w:lastColumn="0" w:lastRow="0" w:noHBand="0" w:noVBand="1" w:val="04A0"/>
      </w:tblPr>
      <w:tblGrid>
        <w:gridCol w:w="3317"/>
        <w:gridCol w:w="3317"/>
        <w:gridCol w:w="3317"/>
      </w:tblGrid>
      <w:tr>
        <w:trPr>
          <w:cantSplit/>
        </w:trPr>
        <w:tc>
          <w:tcPr>
            <w:tcW w:type="dxa" w:w="3317"/>
            <w:shd w:fill="D9EAF7"/>
            <w:vAlign w:val="center"/>
          </w:tcPr>
          <w:p>
            <w:pPr>
              <w:keepNext/>
              <w:jc w:val="center"/>
            </w:pPr>
            <w:r>
              <w:rPr>
                <w:rFonts w:ascii="Aptos" w:hAnsi="Aptos" w:eastAsia="Aptos"/>
                <w:b/>
                <w:i w:val="0"/>
                <w:color w:val="1F4E79"/>
                <w:sz w:val="15"/>
              </w:rPr>
              <w:t>EXPRESSÃO KJV</w:t>
            </w:r>
          </w:p>
        </w:tc>
        <w:tc>
          <w:tcPr>
            <w:tcW w:type="dxa" w:w="3317"/>
            <w:shd w:fill="D9EAF7"/>
            <w:vAlign w:val="center"/>
          </w:tcPr>
          <w:p>
            <w:pPr>
              <w:keepNext/>
              <w:jc w:val="center"/>
            </w:pPr>
            <w:r>
              <w:rPr>
                <w:rFonts w:ascii="Aptos" w:hAnsi="Aptos" w:eastAsia="Aptos"/>
                <w:b/>
                <w:i w:val="0"/>
                <w:color w:val="1F4E79"/>
                <w:sz w:val="15"/>
              </w:rPr>
              <w:t>PALAVRA ORIGINAL</w:t>
            </w:r>
          </w:p>
        </w:tc>
        <w:tc>
          <w:tcPr>
            <w:tcW w:type="dxa" w:w="3317"/>
            <w:shd w:fill="D9EAF7"/>
            <w:vAlign w:val="center"/>
          </w:tcPr>
          <w:p>
            <w:pPr>
              <w:keepNext/>
              <w:jc w:val="center"/>
            </w:pPr>
            <w:r>
              <w:rPr>
                <w:rFonts w:ascii="Aptos" w:hAnsi="Aptos" w:eastAsia="Aptos"/>
                <w:b/>
                <w:i w:val="0"/>
                <w:color w:val="1F4E79"/>
                <w:sz w:val="15"/>
              </w:rPr>
              <w:t>IDEIA BÁSICA</w:t>
            </w:r>
          </w:p>
        </w:tc>
      </w:tr>
      <w:tr>
        <w:trPr>
          <w:cantSplit/>
        </w:trPr>
        <w:tc>
          <w:tcPr>
            <w:tcW w:type="dxa" w:w="3317"/>
          </w:tcPr>
          <w:p>
            <w:pPr>
              <w:spacing w:after="0"/>
            </w:pPr>
            <w:r>
              <w:rPr>
                <w:rFonts w:ascii="Aptos" w:hAnsi="Aptos" w:eastAsia="Aptos"/>
                <w:b w:val="0"/>
                <w:i w:val="0"/>
                <w:sz w:val="15"/>
              </w:rPr>
              <w:t>«devil(s)» em passagens de demónios</w:t>
            </w:r>
          </w:p>
        </w:tc>
        <w:tc>
          <w:tcPr>
            <w:tcW w:type="dxa" w:w="3317"/>
          </w:tcPr>
          <w:p>
            <w:pPr>
              <w:spacing w:after="0"/>
            </w:pPr>
            <w:r>
              <w:rPr>
                <w:rFonts w:ascii="Aptos" w:hAnsi="Aptos" w:eastAsia="Aptos"/>
                <w:b w:val="0"/>
                <w:i w:val="0"/>
                <w:sz w:val="15"/>
              </w:rPr>
              <w:t>Grego daimonion / formas relacionadas</w:t>
            </w:r>
          </w:p>
        </w:tc>
        <w:tc>
          <w:tcPr>
            <w:tcW w:type="dxa" w:w="3317"/>
          </w:tcPr>
          <w:p>
            <w:pPr>
              <w:spacing w:after="0"/>
            </w:pPr>
            <w:r>
              <w:rPr>
                <w:rFonts w:ascii="Aptos" w:hAnsi="Aptos" w:eastAsia="Aptos"/>
                <w:b w:val="0"/>
                <w:i w:val="0"/>
                <w:sz w:val="15"/>
              </w:rPr>
              <w:t>Um demónio; traduções modernas normalmente usam «demon(s)».</w:t>
            </w:r>
          </w:p>
        </w:tc>
      </w:tr>
      <w:tr>
        <w:trPr>
          <w:cantSplit/>
        </w:trPr>
        <w:tc>
          <w:tcPr>
            <w:tcW w:type="dxa" w:w="3317"/>
          </w:tcPr>
          <w:p>
            <w:pPr>
              <w:spacing w:after="0"/>
            </w:pPr>
            <w:r>
              <w:rPr>
                <w:rFonts w:ascii="Aptos" w:hAnsi="Aptos" w:eastAsia="Aptos"/>
                <w:b w:val="0"/>
                <w:i w:val="0"/>
                <w:sz w:val="15"/>
              </w:rPr>
              <w:t>«the devil»</w:t>
            </w:r>
          </w:p>
        </w:tc>
        <w:tc>
          <w:tcPr>
            <w:tcW w:type="dxa" w:w="3317"/>
          </w:tcPr>
          <w:p>
            <w:pPr>
              <w:spacing w:after="0"/>
            </w:pPr>
            <w:r>
              <w:rPr>
                <w:rFonts w:ascii="Aptos" w:hAnsi="Aptos" w:eastAsia="Aptos"/>
                <w:b w:val="0"/>
                <w:i w:val="0"/>
                <w:sz w:val="15"/>
              </w:rPr>
              <w:t>Grego diabolos</w:t>
            </w:r>
          </w:p>
        </w:tc>
        <w:tc>
          <w:tcPr>
            <w:tcW w:type="dxa" w:w="3317"/>
          </w:tcPr>
          <w:p>
            <w:pPr>
              <w:spacing w:after="0"/>
            </w:pPr>
            <w:r>
              <w:rPr>
                <w:rFonts w:ascii="Aptos" w:hAnsi="Aptos" w:eastAsia="Aptos"/>
                <w:b w:val="0"/>
                <w:i w:val="0"/>
                <w:sz w:val="15"/>
              </w:rPr>
              <w:t>Caluniador, acusador; considerado mais plenamente na Lição 30.</w:t>
            </w:r>
          </w:p>
        </w:tc>
      </w:tr>
      <w:tr>
        <w:trPr>
          <w:cantSplit/>
        </w:trPr>
        <w:tc>
          <w:tcPr>
            <w:tcW w:type="dxa" w:w="3317"/>
          </w:tcPr>
          <w:p>
            <w:pPr>
              <w:spacing w:after="0"/>
            </w:pPr>
            <w:r>
              <w:rPr>
                <w:rFonts w:ascii="Aptos" w:hAnsi="Aptos" w:eastAsia="Aptos"/>
                <w:b w:val="0"/>
                <w:i w:val="0"/>
                <w:sz w:val="15"/>
              </w:rPr>
              <w:t>«Satan»</w:t>
            </w:r>
          </w:p>
        </w:tc>
        <w:tc>
          <w:tcPr>
            <w:tcW w:type="dxa" w:w="3317"/>
          </w:tcPr>
          <w:p>
            <w:pPr>
              <w:spacing w:after="0"/>
            </w:pPr>
            <w:r>
              <w:rPr>
                <w:rFonts w:ascii="Aptos" w:hAnsi="Aptos" w:eastAsia="Aptos"/>
                <w:b w:val="0"/>
                <w:i w:val="0"/>
                <w:sz w:val="15"/>
              </w:rPr>
              <w:t>Hebraico satan / grego satanas</w:t>
            </w:r>
          </w:p>
        </w:tc>
        <w:tc>
          <w:tcPr>
            <w:tcW w:type="dxa" w:w="3317"/>
          </w:tcPr>
          <w:p>
            <w:pPr>
              <w:spacing w:after="0"/>
            </w:pPr>
            <w:r>
              <w:rPr>
                <w:rFonts w:ascii="Aptos" w:hAnsi="Aptos" w:eastAsia="Aptos"/>
                <w:b w:val="0"/>
                <w:i w:val="0"/>
                <w:sz w:val="15"/>
              </w:rPr>
              <w:t>Adversário, oponente.</w:t>
            </w:r>
          </w:p>
        </w:tc>
      </w:tr>
      <w:tr>
        <w:trPr>
          <w:cantSplit/>
        </w:trPr>
        <w:tc>
          <w:tcPr>
            <w:tcW w:type="dxa" w:w="3317"/>
          </w:tcPr>
          <w:p>
            <w:pPr>
              <w:spacing w:after="0"/>
            </w:pPr>
            <w:r>
              <w:rPr>
                <w:rFonts w:ascii="Aptos" w:hAnsi="Aptos" w:eastAsia="Aptos"/>
                <w:b w:val="0"/>
                <w:i w:val="0"/>
                <w:sz w:val="15"/>
              </w:rPr>
              <w:t>«evil spirit»</w:t>
            </w:r>
          </w:p>
        </w:tc>
        <w:tc>
          <w:tcPr>
            <w:tcW w:type="dxa" w:w="3317"/>
          </w:tcPr>
          <w:p>
            <w:pPr>
              <w:spacing w:after="0"/>
            </w:pPr>
            <w:r>
              <w:rPr>
                <w:rFonts w:ascii="Aptos" w:hAnsi="Aptos" w:eastAsia="Aptos"/>
                <w:b w:val="0"/>
                <w:i w:val="0"/>
                <w:sz w:val="15"/>
              </w:rPr>
              <w:t>Expressão bíblica distinta</w:t>
            </w:r>
          </w:p>
        </w:tc>
        <w:tc>
          <w:tcPr>
            <w:tcW w:type="dxa" w:w="3317"/>
          </w:tcPr>
          <w:p>
            <w:pPr>
              <w:spacing w:after="0"/>
            </w:pPr>
            <w:r>
              <w:rPr>
                <w:rFonts w:ascii="Aptos" w:hAnsi="Aptos" w:eastAsia="Aptos"/>
                <w:b w:val="0"/>
                <w:i w:val="0"/>
                <w:sz w:val="15"/>
              </w:rPr>
              <w:t>Não é simplesmente outra tradução de daimonion.</w:t>
            </w:r>
          </w:p>
        </w:tc>
      </w:tr>
    </w:tbl>
    <w:p>
      <w:pPr>
        <w:keepNext/>
        <w:spacing w:before="70" w:after="24"/>
      </w:pPr>
      <w:r>
        <w:rPr>
          <w:rFonts w:ascii="Aptos" w:hAnsi="Aptos" w:eastAsia="Aptos"/>
          <w:b/>
          <w:i w:val="0"/>
          <w:color w:val="1F4E79"/>
          <w:sz w:val="24"/>
        </w:rPr>
        <w:t>Jesus, demónios e doença</w:t>
      </w:r>
    </w:p>
    <w:p>
      <w:pPr>
        <w:spacing w:after="36" w:line="240" w:lineRule="auto"/>
      </w:pPr>
      <w:r>
        <w:rPr>
          <w:rFonts w:ascii="Aptos" w:hAnsi="Aptos" w:eastAsia="Aptos"/>
          <w:b w:val="0"/>
          <w:i w:val="0"/>
          <w:sz w:val="19"/>
        </w:rPr>
        <w:t>Os Evangelhos descrevem Jesus curando pessoas com muitos tipos de aflição. Algumas são descritas como doentes; outras na linguagem de possessão demoníaca. Os cristadelfianos entendem esta linguagem como uma maneira de descrever sofrimento humano real, não como prova de seres malignos sobrenaturais independentes vivendo dentro das pessoas.</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10"/>
            </w:pPr>
            <w:r>
              <w:rPr>
                <w:rFonts w:ascii="Aptos" w:hAnsi="Aptos" w:eastAsia="Aptos"/>
                <w:b w:val="0"/>
                <w:i/>
                <w:sz w:val="19"/>
              </w:rPr>
              <w:t>«E, chegada a tarde, trouxeram-lhe muitos endemoninhados, e ele com a sua palavra expulsou deles os espíritos, e curou todos os que estavam enfermos; para que se cumprisse o que fora dito pelo profeta Isaías, que diz: Ele tomou sobre si as nossas enfermidades e levou as nossas doenças.»</w:t>
            </w:r>
          </w:p>
          <w:p>
            <w:pPr>
              <w:spacing w:after="0"/>
            </w:pPr>
            <w:r>
              <w:rPr>
                <w:rFonts w:ascii="Aptos" w:hAnsi="Aptos" w:eastAsia="Aptos"/>
                <w:b/>
                <w:i w:val="0"/>
                <w:color w:val="333333"/>
                <w:sz w:val="17"/>
              </w:rPr>
              <w:t>Mateus 8:16-17  •  King James Version</w:t>
            </w:r>
          </w:p>
        </w:tc>
      </w:tr>
    </w:tbl>
    <w:p>
      <w:pPr>
        <w:spacing w:after="36" w:line="240" w:lineRule="auto"/>
      </w:pPr>
      <w:r>
        <w:rPr>
          <w:rFonts w:ascii="Aptos" w:hAnsi="Aptos" w:eastAsia="Aptos"/>
          <w:b w:val="0"/>
          <w:i w:val="0"/>
          <w:sz w:val="19"/>
        </w:rPr>
        <w:t>Mateus reúne deliberadamente expulsar espíritos e curar doenças e depois relaciona ambos às palavras de Isaías sobre «as nossas enfermidades» e «as nossas doenças». Esta é uma razão importante para o entendimento cristadelfiano destas passagens.</w:t>
      </w:r>
    </w:p>
    <w:p>
      <w:pPr>
        <w:keepNext/>
        <w:spacing w:before="70" w:after="24"/>
      </w:pPr>
      <w:r>
        <w:rPr>
          <w:rFonts w:ascii="Aptos" w:hAnsi="Aptos" w:eastAsia="Aptos"/>
          <w:b/>
          <w:i w:val="0"/>
          <w:color w:val="1F4E79"/>
          <w:sz w:val="24"/>
        </w:rPr>
        <w:t>O relato dos sofredores gadarenos</w:t>
      </w:r>
    </w:p>
    <w:p>
      <w:pPr>
        <w:spacing w:after="36" w:line="240" w:lineRule="auto"/>
      </w:pPr>
      <w:r>
        <w:rPr>
          <w:rFonts w:ascii="Aptos" w:hAnsi="Aptos" w:eastAsia="Aptos"/>
          <w:b w:val="0"/>
          <w:i w:val="0"/>
          <w:sz w:val="19"/>
        </w:rPr>
        <w:t>Mais tarde no mesmo capítulo, Mateus regista a cura de dois homens descritos como possuídos por demónios (Mateus 8:28-34). A linguagem é vívida, mas o facto central é claro: Jesus tinha autoridade para restaurar pessoas que outros não podiam ajudar. A realidade da cura não exige acreditar em demónios sobrenaturais opostos a Deus.</w:t>
      </w:r>
    </w:p>
    <w:p>
      <w:pPr>
        <w:keepNext/>
        <w:spacing w:before="70" w:after="24"/>
      </w:pPr>
      <w:r>
        <w:rPr>
          <w:rFonts w:ascii="Aptos" w:hAnsi="Aptos" w:eastAsia="Aptos"/>
          <w:b/>
          <w:i w:val="0"/>
          <w:color w:val="1F4E79"/>
          <w:sz w:val="24"/>
        </w:rPr>
        <w:t>Demónios e falsa adoração</w:t>
      </w:r>
    </w:p>
    <w:p>
      <w:pPr>
        <w:spacing w:after="36" w:line="240" w:lineRule="auto"/>
      </w:pPr>
      <w:r>
        <w:rPr>
          <w:rFonts w:ascii="Aptos" w:hAnsi="Aptos" w:eastAsia="Aptos"/>
          <w:b w:val="0"/>
          <w:i w:val="0"/>
          <w:sz w:val="19"/>
        </w:rPr>
        <w:t>A Bíblia também usa linguagem de demónios em ligação com falsos deuses e a idolatria das nações. Salmo 106 diz primeiro que Israel serviu os ídolos das nações e depois descreve os terríveis sacrifícios associados a essa falsa adoração.</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10"/>
            </w:pPr>
            <w:r>
              <w:rPr>
                <w:rFonts w:ascii="Aptos" w:hAnsi="Aptos" w:eastAsia="Aptos"/>
                <w:b w:val="0"/>
                <w:i/>
                <w:sz w:val="19"/>
              </w:rPr>
              <w:t>«E serviram os seus ídolos, que vieram a ser-lhes um laço. Demais disto, sacrificaram seus filhos e suas filhas aos demónios.»</w:t>
            </w:r>
          </w:p>
          <w:p>
            <w:pPr>
              <w:spacing w:after="0"/>
            </w:pPr>
            <w:r>
              <w:rPr>
                <w:rFonts w:ascii="Aptos" w:hAnsi="Aptos" w:eastAsia="Aptos"/>
                <w:b/>
                <w:i w:val="0"/>
                <w:color w:val="333333"/>
                <w:sz w:val="17"/>
              </w:rPr>
              <w:t>Salmo 106:36-37  •  King James Version</w:t>
            </w:r>
          </w:p>
        </w:tc>
      </w:tr>
    </w:tbl>
    <w:p>
      <w:pPr>
        <w:spacing w:after="36" w:line="240" w:lineRule="auto"/>
      </w:pPr>
      <w:r>
        <w:rPr>
          <w:rFonts w:ascii="Aptos" w:hAnsi="Aptos" w:eastAsia="Aptos"/>
          <w:b w:val="0"/>
          <w:i w:val="0"/>
          <w:sz w:val="19"/>
        </w:rPr>
        <w:t>A palavra hebraica traduzida «demónios» no versículo 37 não é a palavra grega usada no Novo Testamento, mas o contexto liga claramente a linguagem à adoração idólatra. Os falsos deuses não eram rivais iguais ao verdadeiro Deus; Israel era condenado por abandonar o SENHOR para adorar ídolos.</w:t>
      </w:r>
    </w:p>
    <w:p>
      <w:pPr>
        <w:keepNext/>
        <w:spacing w:before="70" w:after="24"/>
      </w:pPr>
      <w:r>
        <w:rPr>
          <w:rFonts w:ascii="Aptos" w:hAnsi="Aptos" w:eastAsia="Aptos"/>
          <w:b/>
          <w:i w:val="0"/>
          <w:color w:val="1F4E79"/>
          <w:sz w:val="24"/>
        </w:rPr>
        <w:t>Paulo usa linguagem semelhante</w:t>
      </w:r>
    </w:p>
    <w:p>
      <w:pPr>
        <w:spacing w:after="36" w:line="240" w:lineRule="auto"/>
      </w:pPr>
      <w:r>
        <w:rPr>
          <w:rFonts w:ascii="Aptos" w:hAnsi="Aptos" w:eastAsia="Aptos"/>
          <w:b w:val="0"/>
          <w:i w:val="0"/>
          <w:sz w:val="19"/>
        </w:rPr>
        <w:t>Paulo apresenta ponto semelhante em 1 Coríntios 10. Primeiro pergunta o que realmente é um ídolo, e noutra parte da mesma carta diz que «o ídolo nada é no mundo» (1 Coríntios 8:4). Mesmo assim adverte os crentes a não participar no culto sacrificial pagão.</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10"/>
            </w:pPr>
            <w:r>
              <w:rPr>
                <w:rFonts w:ascii="Aptos" w:hAnsi="Aptos" w:eastAsia="Aptos"/>
                <w:b w:val="0"/>
                <w:i/>
                <w:sz w:val="19"/>
              </w:rPr>
              <w:t>«Antes digo que as coisas que os gentios sacrificam, as sacrificam aos demónios, e não a Deus. E não quero que sejais participantes com os demónios.»</w:t>
            </w:r>
          </w:p>
          <w:p>
            <w:pPr>
              <w:spacing w:after="0"/>
            </w:pPr>
            <w:r>
              <w:rPr>
                <w:rFonts w:ascii="Aptos" w:hAnsi="Aptos" w:eastAsia="Aptos"/>
                <w:b/>
                <w:i w:val="0"/>
                <w:color w:val="333333"/>
                <w:sz w:val="17"/>
              </w:rPr>
              <w:t>1 Coríntios 10:20  •  King James Version</w:t>
            </w:r>
          </w:p>
        </w:tc>
      </w:tr>
    </w:tbl>
    <w:tbl>
      <w:tblPr>
        <w:tblW w:type="auto" w:w="0"/>
        <w:jc w:val="center"/>
        <w:tblLook w:firstColumn="1" w:firstRow="1" w:lastColumn="0" w:lastRow="0" w:noHBand="0" w:noVBand="1" w:val="04A0"/>
      </w:tblPr>
      <w:tblGrid>
        <w:gridCol w:w="9951"/>
      </w:tblGrid>
      <w:tr>
        <w:trPr>
          <w:cantSplit/>
        </w:trPr>
        <w:tc>
          <w:tcPr>
            <w:tcW w:type="dxa" w:w="9951"/>
            <w:shd w:fill="D9EAF7"/>
          </w:tcPr>
          <w:p>
            <w:pPr>
              <w:spacing w:after="10"/>
            </w:pPr>
            <w:r>
              <w:rPr>
                <w:rFonts w:ascii="Aptos" w:hAnsi="Aptos" w:eastAsia="Aptos"/>
                <w:b/>
                <w:i w:val="0"/>
                <w:color w:val="1F4E79"/>
                <w:sz w:val="20"/>
              </w:rPr>
              <w:t>A conclusão cristadelfiana</w:t>
            </w:r>
          </w:p>
          <w:p>
            <w:pPr>
              <w:spacing w:after="0"/>
            </w:pPr>
            <w:r>
              <w:rPr>
                <w:rFonts w:ascii="Aptos" w:hAnsi="Aptos" w:eastAsia="Aptos"/>
                <w:b w:val="0"/>
                <w:i w:val="0"/>
                <w:sz w:val="18"/>
              </w:rPr>
              <w:t>A Escritura condena a adoração de demónios e a idolatria sem exigir que acreditemos que deuses pagãos são poderes sobrenaturais reais competindo com Deus. Há um só Deus, e a falsa adoração deve ser rejeitada.</w:t>
            </w:r>
          </w:p>
        </w:tc>
      </w:tr>
    </w:tbl>
    <w:p>
      <w:pPr>
        <w:keepNext/>
        <w:spacing w:before="70" w:after="24"/>
      </w:pPr>
      <w:r>
        <w:rPr>
          <w:rFonts w:ascii="Aptos" w:hAnsi="Aptos" w:eastAsia="Aptos"/>
          <w:b/>
          <w:i w:val="0"/>
          <w:color w:val="1F4E79"/>
          <w:sz w:val="24"/>
        </w:rPr>
        <w:t>O que significa «Satanás»?</w:t>
      </w:r>
    </w:p>
    <w:p>
      <w:pPr>
        <w:spacing w:after="36" w:line="240" w:lineRule="auto"/>
      </w:pPr>
      <w:r>
        <w:rPr>
          <w:rFonts w:ascii="Aptos" w:hAnsi="Aptos" w:eastAsia="Aptos"/>
          <w:b w:val="0"/>
          <w:i w:val="0"/>
          <w:sz w:val="19"/>
        </w:rPr>
        <w:t>A palavra hebraica satan significa adversário ou oponente. A Bíblia inglesa às vezes traduz simplesmente «adversário», o que nos ajuda a ver como a palavra é usada.</w:t>
      </w:r>
    </w:p>
    <w:tbl>
      <w:tblPr>
        <w:tblStyle w:val="TableGrid"/>
        <w:tblW w:type="auto" w:w="0"/>
        <w:jc w:val="center"/>
        <w:tblLook w:firstColumn="1" w:firstRow="1" w:lastColumn="0" w:lastRow="0" w:noHBand="0" w:noVBand="1" w:val="04A0"/>
      </w:tblPr>
      <w:tblGrid>
        <w:gridCol w:w="4975"/>
        <w:gridCol w:w="4975"/>
      </w:tblGrid>
      <w:tr>
        <w:trPr>
          <w:cantSplit/>
        </w:trPr>
        <w:tc>
          <w:tcPr>
            <w:tcW w:type="dxa" w:w="4975"/>
            <w:shd w:fill="D9EAF7"/>
            <w:vAlign w:val="center"/>
          </w:tcPr>
          <w:p>
            <w:pPr>
              <w:keepNext/>
              <w:jc w:val="center"/>
            </w:pPr>
            <w:r>
              <w:rPr>
                <w:rFonts w:ascii="Aptos" w:hAnsi="Aptos" w:eastAsia="Aptos"/>
                <w:b/>
                <w:i w:val="0"/>
                <w:color w:val="1F4E79"/>
                <w:sz w:val="15"/>
              </w:rPr>
              <w:t>PASSAGEM</w:t>
            </w:r>
          </w:p>
        </w:tc>
        <w:tc>
          <w:tcPr>
            <w:tcW w:type="dxa" w:w="4975"/>
            <w:shd w:fill="D9EAF7"/>
            <w:vAlign w:val="center"/>
          </w:tcPr>
          <w:p>
            <w:pPr>
              <w:keepNext/>
              <w:jc w:val="center"/>
            </w:pPr>
            <w:r>
              <w:rPr>
                <w:rFonts w:ascii="Aptos" w:hAnsi="Aptos" w:eastAsia="Aptos"/>
                <w:b/>
                <w:i w:val="0"/>
                <w:color w:val="1F4E79"/>
                <w:sz w:val="15"/>
              </w:rPr>
              <w:t>QUEM É O ADVERSÁRIO?</w:t>
            </w:r>
          </w:p>
        </w:tc>
      </w:tr>
      <w:tr>
        <w:trPr>
          <w:cantSplit/>
        </w:trPr>
        <w:tc>
          <w:tcPr>
            <w:tcW w:type="dxa" w:w="4975"/>
          </w:tcPr>
          <w:p>
            <w:pPr>
              <w:spacing w:after="0"/>
            </w:pPr>
            <w:r>
              <w:rPr>
                <w:rFonts w:ascii="Aptos" w:hAnsi="Aptos" w:eastAsia="Aptos"/>
                <w:b w:val="0"/>
                <w:i w:val="0"/>
                <w:sz w:val="15"/>
              </w:rPr>
              <w:t>1 Reis 11:14</w:t>
            </w:r>
          </w:p>
        </w:tc>
        <w:tc>
          <w:tcPr>
            <w:tcW w:type="dxa" w:w="4975"/>
          </w:tcPr>
          <w:p>
            <w:pPr>
              <w:spacing w:after="0"/>
            </w:pPr>
            <w:r>
              <w:rPr>
                <w:rFonts w:ascii="Aptos" w:hAnsi="Aptos" w:eastAsia="Aptos"/>
                <w:b w:val="0"/>
                <w:i w:val="0"/>
                <w:sz w:val="15"/>
              </w:rPr>
              <w:t>Hadade, o edomita, foi levantado como adversário contra Salomão.</w:t>
            </w:r>
          </w:p>
        </w:tc>
      </w:tr>
      <w:tr>
        <w:trPr>
          <w:cantSplit/>
        </w:trPr>
        <w:tc>
          <w:tcPr>
            <w:tcW w:type="dxa" w:w="4975"/>
          </w:tcPr>
          <w:p>
            <w:pPr>
              <w:spacing w:after="0"/>
            </w:pPr>
            <w:r>
              <w:rPr>
                <w:rFonts w:ascii="Aptos" w:hAnsi="Aptos" w:eastAsia="Aptos"/>
                <w:b w:val="0"/>
                <w:i w:val="0"/>
                <w:sz w:val="15"/>
              </w:rPr>
              <w:t>1 Reis 11:23,25</w:t>
            </w:r>
          </w:p>
        </w:tc>
        <w:tc>
          <w:tcPr>
            <w:tcW w:type="dxa" w:w="4975"/>
          </w:tcPr>
          <w:p>
            <w:pPr>
              <w:spacing w:after="0"/>
            </w:pPr>
            <w:r>
              <w:rPr>
                <w:rFonts w:ascii="Aptos" w:hAnsi="Aptos" w:eastAsia="Aptos"/>
                <w:b w:val="0"/>
                <w:i w:val="0"/>
                <w:sz w:val="15"/>
              </w:rPr>
              <w:t>Rezom tornou-se outro adversário de Salomão e Israel.</w:t>
            </w:r>
          </w:p>
        </w:tc>
      </w:tr>
      <w:tr>
        <w:trPr>
          <w:cantSplit/>
        </w:trPr>
        <w:tc>
          <w:tcPr>
            <w:tcW w:type="dxa" w:w="4975"/>
          </w:tcPr>
          <w:p>
            <w:pPr>
              <w:spacing w:after="0"/>
            </w:pPr>
            <w:r>
              <w:rPr>
                <w:rFonts w:ascii="Aptos" w:hAnsi="Aptos" w:eastAsia="Aptos"/>
                <w:b w:val="0"/>
                <w:i w:val="0"/>
                <w:sz w:val="15"/>
              </w:rPr>
              <w:t>Números 22:22</w:t>
            </w:r>
          </w:p>
        </w:tc>
        <w:tc>
          <w:tcPr>
            <w:tcW w:type="dxa" w:w="4975"/>
          </w:tcPr>
          <w:p>
            <w:pPr>
              <w:spacing w:after="0"/>
            </w:pPr>
            <w:r>
              <w:rPr>
                <w:rFonts w:ascii="Aptos" w:hAnsi="Aptos" w:eastAsia="Aptos"/>
                <w:b w:val="0"/>
                <w:i w:val="0"/>
                <w:sz w:val="15"/>
              </w:rPr>
              <w:t>O anjo do SENHOR colocou-se no caminho de Balaão «por adversário contra ele».</w:t>
            </w:r>
          </w:p>
        </w:tc>
      </w:tr>
      <w:tr>
        <w:trPr>
          <w:cantSplit/>
        </w:trPr>
        <w:tc>
          <w:tcPr>
            <w:tcW w:type="dxa" w:w="4975"/>
          </w:tcPr>
          <w:p>
            <w:pPr>
              <w:spacing w:after="0"/>
            </w:pPr>
            <w:r>
              <w:rPr>
                <w:rFonts w:ascii="Aptos" w:hAnsi="Aptos" w:eastAsia="Aptos"/>
                <w:b w:val="0"/>
                <w:i w:val="0"/>
                <w:sz w:val="15"/>
              </w:rPr>
              <w:t>Mateus 16:23</w:t>
            </w:r>
          </w:p>
        </w:tc>
        <w:tc>
          <w:tcPr>
            <w:tcW w:type="dxa" w:w="4975"/>
          </w:tcPr>
          <w:p>
            <w:pPr>
              <w:spacing w:after="0"/>
            </w:pPr>
            <w:r>
              <w:rPr>
                <w:rFonts w:ascii="Aptos" w:hAnsi="Aptos" w:eastAsia="Aptos"/>
                <w:b w:val="0"/>
                <w:i w:val="0"/>
                <w:sz w:val="15"/>
              </w:rPr>
              <w:t>Jesus chamou Pedro «Satanás» quando Pedro se opôs ao caminho que Deus lhe tinha destinado.</w:t>
            </w:r>
          </w:p>
        </w:tc>
      </w:tr>
    </w:tbl>
    <w:p>
      <w:pPr>
        <w:spacing w:after="36" w:line="240" w:lineRule="auto"/>
      </w:pPr>
      <w:r>
        <w:rPr>
          <w:rFonts w:ascii="Aptos" w:hAnsi="Aptos" w:eastAsia="Aptos"/>
          <w:b w:val="0"/>
          <w:i w:val="0"/>
          <w:sz w:val="19"/>
        </w:rPr>
        <w:t>Estes exemplos mostram que a palavra por si mesma não nomeia um ser maligno sobrenatural específico. Descreve oposição. A identidade e caráter moral do adversário devem ser descobertos pelo contexto.</w:t>
      </w:r>
    </w:p>
    <w:p>
      <w:pPr>
        <w:keepNext/>
        <w:spacing w:before="70" w:after="24"/>
      </w:pPr>
      <w:r>
        <w:rPr>
          <w:rFonts w:ascii="Aptos" w:hAnsi="Aptos" w:eastAsia="Aptos"/>
          <w:b/>
          <w:i w:val="0"/>
          <w:color w:val="1F4E79"/>
          <w:sz w:val="24"/>
        </w:rPr>
        <w:t>Um anjo pode ser adversário</w:t>
      </w:r>
    </w:p>
    <w:p>
      <w:pPr>
        <w:spacing w:after="36" w:line="240" w:lineRule="auto"/>
      </w:pPr>
      <w:r>
        <w:rPr>
          <w:rFonts w:ascii="Aptos" w:hAnsi="Aptos" w:eastAsia="Aptos"/>
          <w:b w:val="0"/>
          <w:i w:val="0"/>
          <w:sz w:val="19"/>
        </w:rPr>
        <w:t>Números 22 é especialmente importante. Balaão seguiu viagem e o anjo do SENHOR ficou no caminho «por adversário contra ele». O anjo fazia a vontade de Deus. Em hebraico, a mesma palavra muitas vezes traduzida «Satanás» é usada aqui para o anjo fiel de Deus.</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10"/>
            </w:pPr>
            <w:r>
              <w:rPr>
                <w:rFonts w:ascii="Aptos" w:hAnsi="Aptos" w:eastAsia="Aptos"/>
                <w:b w:val="0"/>
                <w:i/>
                <w:sz w:val="19"/>
              </w:rPr>
              <w:t>«E a ira de Deus acendeu-se, porque ele se ia; e o anjo do SENHOR pôs-se-lhe no caminho por adversário.»</w:t>
            </w:r>
          </w:p>
          <w:p>
            <w:pPr>
              <w:spacing w:after="0"/>
            </w:pPr>
            <w:r>
              <w:rPr>
                <w:rFonts w:ascii="Aptos" w:hAnsi="Aptos" w:eastAsia="Aptos"/>
                <w:b/>
                <w:i w:val="0"/>
                <w:color w:val="333333"/>
                <w:sz w:val="17"/>
              </w:rPr>
              <w:t>Números 22:22  •  King James Version</w:t>
            </w:r>
          </w:p>
        </w:tc>
      </w:tr>
    </w:tbl>
    <w:p>
      <w:pPr>
        <w:spacing w:after="36" w:line="240" w:lineRule="auto"/>
      </w:pPr>
      <w:r>
        <w:rPr>
          <w:rFonts w:ascii="Aptos" w:hAnsi="Aptos" w:eastAsia="Aptos"/>
          <w:b w:val="0"/>
          <w:i w:val="0"/>
          <w:sz w:val="19"/>
        </w:rPr>
        <w:t>Um adversário, portanto, pode estar a agir mal ou bem. A palavra diz que alguém se opõe a outro; a passagem diz-nos porquê.</w:t>
      </w:r>
    </w:p>
    <w:p>
      <w:pPr>
        <w:keepNext/>
        <w:spacing w:before="70" w:after="24"/>
      </w:pPr>
      <w:r>
        <w:rPr>
          <w:rFonts w:ascii="Aptos" w:hAnsi="Aptos" w:eastAsia="Aptos"/>
          <w:b/>
          <w:i w:val="0"/>
          <w:color w:val="1F4E79"/>
          <w:sz w:val="24"/>
        </w:rPr>
        <w:t>Pedro tornou-se adversário de Jesus</w:t>
      </w:r>
    </w:p>
    <w:p>
      <w:pPr>
        <w:spacing w:after="36" w:line="240" w:lineRule="auto"/>
      </w:pPr>
      <w:r>
        <w:rPr>
          <w:rFonts w:ascii="Aptos" w:hAnsi="Aptos" w:eastAsia="Aptos"/>
          <w:b w:val="0"/>
          <w:i w:val="0"/>
          <w:sz w:val="19"/>
        </w:rPr>
        <w:t>Quando Jesus explicou que precisava ir a Jerusalém, sofrer e ser morto, Pedro tentou desviá-lo desse caminho. Jesus respondeu com muita firmeza:</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10"/>
            </w:pPr>
            <w:r>
              <w:rPr>
                <w:rFonts w:ascii="Aptos" w:hAnsi="Aptos" w:eastAsia="Aptos"/>
                <w:b w:val="0"/>
                <w:i/>
                <w:sz w:val="19"/>
              </w:rPr>
              <w:t>«Para trás de mim, Satanás, que me serves de escândalo; porque não compreendes as coisas que são de Deus, mas só as que são dos homens.»</w:t>
            </w:r>
          </w:p>
          <w:p>
            <w:pPr>
              <w:spacing w:after="0"/>
            </w:pPr>
            <w:r>
              <w:rPr>
                <w:rFonts w:ascii="Aptos" w:hAnsi="Aptos" w:eastAsia="Aptos"/>
                <w:b/>
                <w:i w:val="0"/>
                <w:color w:val="333333"/>
                <w:sz w:val="17"/>
              </w:rPr>
              <w:t>Mateus 16:23  •  King James Version</w:t>
            </w:r>
          </w:p>
        </w:tc>
      </w:tr>
    </w:tbl>
    <w:p>
      <w:pPr>
        <w:spacing w:after="36" w:line="240" w:lineRule="auto"/>
      </w:pPr>
      <w:r>
        <w:rPr>
          <w:rFonts w:ascii="Aptos" w:hAnsi="Aptos" w:eastAsia="Aptos"/>
          <w:b w:val="0"/>
          <w:i w:val="0"/>
          <w:sz w:val="19"/>
        </w:rPr>
        <w:t>Pedro não se transformou num ser sobrenatural. Tornou-se adversário porque, naquele momento, o seu pensamento humano se opunha ao propósito de Deus. É um exemplo claro de «Satanás» usado segundo o seu significado: um oponente.</w:t>
      </w:r>
    </w:p>
    <w:p>
      <w:pPr>
        <w:keepNext/>
        <w:spacing w:before="70" w:after="24"/>
      </w:pPr>
      <w:r>
        <w:rPr>
          <w:rFonts w:ascii="Aptos" w:hAnsi="Aptos" w:eastAsia="Aptos"/>
          <w:b/>
          <w:i w:val="0"/>
          <w:color w:val="1F4E79"/>
          <w:sz w:val="24"/>
        </w:rPr>
        <w:t>Ananias e a responsabilidade do coração</w:t>
      </w:r>
    </w:p>
    <w:p>
      <w:pPr>
        <w:spacing w:after="36" w:line="240" w:lineRule="auto"/>
      </w:pPr>
      <w:r>
        <w:rPr>
          <w:rFonts w:ascii="Aptos" w:hAnsi="Aptos" w:eastAsia="Aptos"/>
          <w:b w:val="0"/>
          <w:i w:val="0"/>
          <w:sz w:val="19"/>
        </w:rPr>
        <w:t>Atos 5 descreve o pecado de Ananias. Pedro pergunta primeiro: «por que encheu Satanás o teu coração, para que mentisses ao Espírito Santo?» e depois: «por que formaste este desígnio em teu coração?» (Atos 5:3-4).</w:t>
      </w:r>
    </w:p>
    <w:tbl>
      <w:tblPr>
        <w:tblW w:type="auto" w:w="0"/>
        <w:jc w:val="center"/>
        <w:tblLook w:firstColumn="1" w:firstRow="1" w:lastColumn="0" w:lastRow="0" w:noHBand="0" w:noVBand="1" w:val="04A0"/>
      </w:tblPr>
      <w:tblGrid>
        <w:gridCol w:w="9951"/>
      </w:tblGrid>
      <w:tr>
        <w:trPr>
          <w:cantSplit/>
        </w:trPr>
        <w:tc>
          <w:tcPr>
            <w:tcW w:type="dxa" w:w="9951"/>
            <w:shd w:fill="D9EAF7"/>
          </w:tcPr>
          <w:p>
            <w:pPr>
              <w:spacing w:after="10"/>
            </w:pPr>
            <w:r>
              <w:rPr>
                <w:rFonts w:ascii="Aptos" w:hAnsi="Aptos" w:eastAsia="Aptos"/>
                <w:b/>
                <w:i w:val="0"/>
                <w:color w:val="1F4E79"/>
                <w:sz w:val="20"/>
              </w:rPr>
              <w:t>Uma leitura cristadelfiana</w:t>
            </w:r>
          </w:p>
          <w:p>
            <w:pPr>
              <w:spacing w:after="0"/>
            </w:pPr>
            <w:r>
              <w:rPr>
                <w:rFonts w:ascii="Aptos" w:hAnsi="Aptos" w:eastAsia="Aptos"/>
                <w:b w:val="0"/>
                <w:i w:val="0"/>
                <w:sz w:val="18"/>
              </w:rPr>
              <w:t>Os cristadelfianos leem as duas declarações juntas: Ananias era responsável pelo engano concebido no seu próprio coração. «Satanás» descreve a oposição do pensamento pecaminoso a Deus; a passagem não desculpa Ananias transferindo a responsabilidade para um tentador sobrenatural externo.</w:t>
            </w:r>
          </w:p>
        </w:tc>
      </w:tr>
    </w:tbl>
    <w:p>
      <w:pPr>
        <w:keepNext/>
        <w:spacing w:before="70" w:after="24"/>
      </w:pPr>
      <w:r>
        <w:rPr>
          <w:rFonts w:ascii="Aptos" w:hAnsi="Aptos" w:eastAsia="Aptos"/>
          <w:b/>
          <w:i w:val="0"/>
          <w:color w:val="1F4E79"/>
          <w:sz w:val="24"/>
        </w:rPr>
        <w:t>De onde vem a tentação?</w:t>
      </w:r>
    </w:p>
    <w:p>
      <w:pPr>
        <w:spacing w:after="36" w:line="240" w:lineRule="auto"/>
      </w:pPr>
      <w:r>
        <w:rPr>
          <w:rFonts w:ascii="Aptos" w:hAnsi="Aptos" w:eastAsia="Aptos"/>
          <w:b w:val="0"/>
          <w:i w:val="0"/>
          <w:sz w:val="19"/>
        </w:rPr>
        <w:t>Esta maneira de ler «Satanás» concorda com a ênfase repetida da Bíblia na responsabilidade pessoal. Tiago diz que a pessoa é tentada quando «atraída e engodada pela sua própria concupiscência» (Tiago 1:14). A próxima lição considera mais de perto a linguagem bíblica de «o diabo» e o poder do pecado.</w:t>
      </w:r>
    </w:p>
    <w:p>
      <w:pPr>
        <w:keepNext/>
        <w:spacing w:before="70" w:after="24"/>
      </w:pPr>
      <w:r>
        <w:rPr>
          <w:rFonts w:ascii="Aptos" w:hAnsi="Aptos" w:eastAsia="Aptos"/>
          <w:b/>
          <w:i w:val="0"/>
          <w:color w:val="1F4E79"/>
          <w:sz w:val="24"/>
        </w:rPr>
        <w:t>Quem era «Lúcifer»?</w:t>
      </w:r>
    </w:p>
    <w:p>
      <w:pPr>
        <w:spacing w:after="36" w:line="240" w:lineRule="auto"/>
      </w:pPr>
      <w:r>
        <w:rPr>
          <w:rFonts w:ascii="Aptos" w:hAnsi="Aptos" w:eastAsia="Aptos"/>
          <w:b w:val="0"/>
          <w:i w:val="0"/>
          <w:sz w:val="19"/>
        </w:rPr>
        <w:t>Isaías 14:12 é frequentemente citado como se «Lúcifer» fosse o nome pessoal de um anjo sobrenatural caído. Mas o próprio capítulo identifica quem é visado. O versículo 4 introduz um provérbio ou escárnio «contra o rei de Babilónia». A linguagem descreve então a queda espetacular de um governante orgulhoso.</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10"/>
            </w:pPr>
            <w:r>
              <w:rPr>
                <w:rFonts w:ascii="Aptos" w:hAnsi="Aptos" w:eastAsia="Aptos"/>
                <w:b w:val="0"/>
                <w:i/>
                <w:sz w:val="19"/>
              </w:rPr>
              <w:t>«Como caíste do céu, ó Lúcifer, filho da alva! Como foste cortado por terra, tu que debilitavas as nações!»</w:t>
            </w:r>
          </w:p>
          <w:p>
            <w:pPr>
              <w:spacing w:after="0"/>
            </w:pPr>
            <w:r>
              <w:rPr>
                <w:rFonts w:ascii="Aptos" w:hAnsi="Aptos" w:eastAsia="Aptos"/>
                <w:b/>
                <w:i w:val="0"/>
                <w:color w:val="333333"/>
                <w:sz w:val="17"/>
              </w:rPr>
              <w:t>Isaías 14:12  •  King James Version</w:t>
            </w:r>
          </w:p>
        </w:tc>
      </w:tr>
    </w:tbl>
    <w:p>
      <w:pPr>
        <w:spacing w:after="36" w:line="240" w:lineRule="auto"/>
      </w:pPr>
      <w:r>
        <w:rPr>
          <w:rFonts w:ascii="Aptos" w:hAnsi="Aptos" w:eastAsia="Aptos"/>
          <w:b w:val="0"/>
          <w:i w:val="0"/>
          <w:sz w:val="19"/>
        </w:rPr>
        <w:t>A linguagem poética de cair do céu descreve o colapso de poder exaltado. O versículo 16 reforça o cenário humano quando os observadores perguntam: «É este o homem que fazia estremecer a terra e que fazia tremer os reinos?» Os cristadelfianos entendem, portanto, Isaías 14 como profecia contra o rei de Babilónia, não como história de um anjo rebelde.</w:t>
      </w:r>
    </w:p>
    <w:p>
      <w:pPr>
        <w:keepNext/>
        <w:spacing w:before="70" w:after="24"/>
      </w:pPr>
      <w:r>
        <w:rPr>
          <w:rFonts w:ascii="Aptos" w:hAnsi="Aptos" w:eastAsia="Aptos"/>
          <w:b/>
          <w:i w:val="0"/>
          <w:color w:val="1F4E79"/>
          <w:sz w:val="24"/>
        </w:rPr>
        <w:t>E o «rei de Tiro»?</w:t>
      </w:r>
    </w:p>
    <w:p>
      <w:pPr>
        <w:spacing w:after="36" w:line="240" w:lineRule="auto"/>
      </w:pPr>
      <w:r>
        <w:rPr>
          <w:rFonts w:ascii="Aptos" w:hAnsi="Aptos" w:eastAsia="Aptos"/>
          <w:b w:val="0"/>
          <w:i w:val="0"/>
          <w:sz w:val="19"/>
        </w:rPr>
        <w:t>Ezequiel 28 também contém linguagem poética elevada: Éden, pedras preciosas, um querubim e o monte santo de Deus. Estes versículos às vezes são aplicados a um diabo sobrenatural. Mas a própria passagem apresenta a lamentação como sendo «sobre o rei de Tiro».</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10"/>
            </w:pPr>
            <w:r>
              <w:rPr>
                <w:rFonts w:ascii="Aptos" w:hAnsi="Aptos" w:eastAsia="Aptos"/>
                <w:b w:val="0"/>
                <w:i/>
                <w:sz w:val="19"/>
              </w:rPr>
              <w:t>«Filho do homem, levanta uma lamentação sobre o rei de Tiro, e dize-lhe: Assim diz o Senhor DEUS.»</w:t>
            </w:r>
          </w:p>
          <w:p>
            <w:pPr>
              <w:spacing w:after="0"/>
            </w:pPr>
            <w:r>
              <w:rPr>
                <w:rFonts w:ascii="Aptos" w:hAnsi="Aptos" w:eastAsia="Aptos"/>
                <w:b/>
                <w:i w:val="0"/>
                <w:color w:val="333333"/>
                <w:sz w:val="17"/>
              </w:rPr>
              <w:t>Ezequiel 28:12  •  King James Version</w:t>
            </w:r>
          </w:p>
        </w:tc>
      </w:tr>
    </w:tbl>
    <w:p>
      <w:pPr>
        <w:spacing w:after="36" w:line="240" w:lineRule="auto"/>
      </w:pPr>
      <w:r>
        <w:rPr>
          <w:rFonts w:ascii="Aptos" w:hAnsi="Aptos" w:eastAsia="Aptos"/>
          <w:b w:val="0"/>
          <w:i w:val="0"/>
          <w:sz w:val="19"/>
        </w:rPr>
        <w:t>O entendimento cristadelfiano é que Ezequiel usa linguagem figurativa rica para descrever a posição privilegiada e depois a corrupção de um governante humano. O assunto imediato identificado pelo profeta é o rei de Tiro.</w:t>
      </w:r>
    </w:p>
    <w:tbl>
      <w:tblPr>
        <w:tblW w:type="auto" w:w="0"/>
        <w:jc w:val="center"/>
        <w:tblLook w:firstColumn="1" w:firstRow="1" w:lastColumn="0" w:lastRow="0" w:noHBand="0" w:noVBand="1" w:val="04A0"/>
      </w:tblPr>
      <w:tblGrid>
        <w:gridCol w:w="9951"/>
      </w:tblGrid>
      <w:tr>
        <w:trPr>
          <w:cantSplit/>
        </w:trPr>
        <w:tc>
          <w:tcPr>
            <w:tcW w:type="dxa" w:w="9951"/>
            <w:shd w:fill="D9EAF7"/>
          </w:tcPr>
          <w:p>
            <w:pPr>
              <w:spacing w:after="10"/>
            </w:pPr>
            <w:r>
              <w:rPr>
                <w:rFonts w:ascii="Aptos" w:hAnsi="Aptos" w:eastAsia="Aptos"/>
                <w:b/>
                <w:i w:val="0"/>
                <w:color w:val="1F4E79"/>
                <w:sz w:val="20"/>
              </w:rPr>
              <w:t>Leia o contexto, não uma frase isolada</w:t>
            </w:r>
          </w:p>
          <w:p>
            <w:pPr>
              <w:spacing w:after="0"/>
            </w:pPr>
            <w:r>
              <w:rPr>
                <w:rFonts w:ascii="Aptos" w:hAnsi="Aptos" w:eastAsia="Aptos"/>
                <w:b w:val="0"/>
                <w:i w:val="0"/>
                <w:sz w:val="18"/>
              </w:rPr>
              <w:t>Palavras como «céu», «querubim», «Éden», «Lúcifer» e «Satanás» podem soar dramáticas quando retiradas do contexto. Leia sempre o capítulo inteiro e identifique quem é abordado, que acontecimento é descrito e se a linguagem é literal, poética ou simbólica.</w:t>
            </w:r>
          </w:p>
        </w:tc>
      </w:tr>
    </w:tbl>
    <w:p>
      <w:pPr>
        <w:keepNext/>
        <w:spacing w:before="70" w:after="24"/>
      </w:pPr>
      <w:r>
        <w:rPr>
          <w:rFonts w:ascii="Aptos" w:hAnsi="Aptos" w:eastAsia="Aptos"/>
          <w:b/>
          <w:i w:val="0"/>
          <w:color w:val="1F4E79"/>
          <w:sz w:val="24"/>
        </w:rPr>
        <w:t>Nenhum poder rival de Deus</w:t>
      </w:r>
    </w:p>
    <w:p>
      <w:pPr>
        <w:spacing w:after="36" w:line="240" w:lineRule="auto"/>
      </w:pPr>
      <w:r>
        <w:rPr>
          <w:rFonts w:ascii="Aptos" w:hAnsi="Aptos" w:eastAsia="Aptos"/>
          <w:b w:val="0"/>
          <w:i w:val="0"/>
          <w:sz w:val="19"/>
        </w:rPr>
        <w:t>A Bíblia apresenta consistentemente o SENHOR como supremo. Governantes humanos podem tornar-se orgulhosos, religiões falsas podem opor-se à verdade e desejos pecaminosos podem opor-se a Deus no nosso coração; mas a Escritura não apresenta Deus a partilhar o universo com um poder maligno independente igual a Ele.</w:t>
      </w:r>
    </w:p>
    <w:p>
      <w:pPr>
        <w:keepNext/>
        <w:spacing w:before="70" w:after="24"/>
      </w:pPr>
      <w:r>
        <w:rPr>
          <w:rFonts w:ascii="Aptos" w:hAnsi="Aptos" w:eastAsia="Aptos"/>
          <w:b/>
          <w:i w:val="0"/>
          <w:color w:val="1F4E79"/>
          <w:sz w:val="24"/>
        </w:rPr>
        <w:t>O que aconteceu no Éden?</w:t>
      </w:r>
    </w:p>
    <w:p>
      <w:pPr>
        <w:spacing w:after="36" w:line="240" w:lineRule="auto"/>
      </w:pPr>
      <w:r>
        <w:rPr>
          <w:rFonts w:ascii="Aptos" w:hAnsi="Aptos" w:eastAsia="Aptos"/>
          <w:b w:val="0"/>
          <w:i w:val="0"/>
          <w:sz w:val="19"/>
        </w:rPr>
        <w:t>Génesis 3 regista uma serpente falando a Eva e contradizendo a ordem de Deus. Eva ouviu, desejou o fruto proibido e comeu; Adão também comeu. Quando Deus os interrogou, Adão culpou a mulher e Eva culpou a serpente.</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10"/>
            </w:pPr>
            <w:r>
              <w:rPr>
                <w:rFonts w:ascii="Aptos" w:hAnsi="Aptos" w:eastAsia="Aptos"/>
                <w:b w:val="0"/>
                <w:i/>
                <w:sz w:val="19"/>
              </w:rPr>
              <w:t>«A mulher que me deste por companheira, ela me deu da árvore, e comi.»</w:t>
            </w:r>
          </w:p>
          <w:p>
            <w:pPr>
              <w:spacing w:after="0"/>
            </w:pPr>
            <w:r>
              <w:rPr>
                <w:rFonts w:ascii="Aptos" w:hAnsi="Aptos" w:eastAsia="Aptos"/>
                <w:b/>
                <w:i w:val="0"/>
                <w:color w:val="333333"/>
                <w:sz w:val="17"/>
              </w:rPr>
              <w:t>Génesis 3:12  •  King James Version</w:t>
            </w:r>
          </w:p>
        </w:tc>
      </w:tr>
    </w:tbl>
    <w:tbl>
      <w:tblPr>
        <w:tblW w:type="auto" w:w="0"/>
        <w:jc w:val="center"/>
        <w:tblLook w:firstColumn="1" w:firstRow="1" w:lastColumn="0" w:lastRow="0" w:noHBand="0" w:noVBand="1" w:val="04A0"/>
      </w:tblPr>
      <w:tblGrid>
        <w:gridCol w:w="9951"/>
      </w:tblGrid>
      <w:tr>
        <w:trPr>
          <w:cantSplit/>
        </w:trPr>
        <w:tc>
          <w:tcPr>
            <w:tcW w:type="dxa" w:w="9951"/>
            <w:shd w:fill="EDF4F9"/>
          </w:tcPr>
          <w:p>
            <w:pPr>
              <w:spacing w:after="10"/>
            </w:pPr>
            <w:r>
              <w:rPr>
                <w:rFonts w:ascii="Aptos" w:hAnsi="Aptos" w:eastAsia="Aptos"/>
                <w:b w:val="0"/>
                <w:i/>
                <w:sz w:val="19"/>
              </w:rPr>
              <w:t>«A serpente me enganou, e eu comi.»</w:t>
            </w:r>
          </w:p>
          <w:p>
            <w:pPr>
              <w:spacing w:after="0"/>
            </w:pPr>
            <w:r>
              <w:rPr>
                <w:rFonts w:ascii="Aptos" w:hAnsi="Aptos" w:eastAsia="Aptos"/>
                <w:b/>
                <w:i w:val="0"/>
                <w:color w:val="333333"/>
                <w:sz w:val="17"/>
              </w:rPr>
              <w:t>Génesis 3:13  •  King James Version</w:t>
            </w:r>
          </w:p>
        </w:tc>
      </w:tr>
    </w:tbl>
    <w:p>
      <w:pPr>
        <w:spacing w:after="36" w:line="240" w:lineRule="auto"/>
      </w:pPr>
      <w:r>
        <w:rPr>
          <w:rFonts w:ascii="Aptos" w:hAnsi="Aptos" w:eastAsia="Aptos"/>
          <w:b w:val="0"/>
          <w:i w:val="0"/>
          <w:sz w:val="19"/>
        </w:rPr>
        <w:t>Génesis coloca a responsabilidade em Adão e Eva pela desobediência. O capítulo não introduz um Satanás sobrenatural como outra personagem por trás da serpente. A serpente forneceu a tentação, mas Adão e Eva escolheram desobedecer. A Bíblia também regista noutro lugar um animal a falar quando o SENHOR abriu a boca da jumenta de Balaão (Números 22:28). A questão importante no Éden não é especular como a serpente falou, mas a resposta humana à ordem de Deus.</w:t>
      </w:r>
    </w:p>
    <w:p>
      <w:pPr>
        <w:keepNext/>
        <w:spacing w:before="70" w:after="24"/>
      </w:pPr>
      <w:r>
        <w:rPr>
          <w:rFonts w:ascii="Aptos" w:hAnsi="Aptos" w:eastAsia="Aptos"/>
          <w:b/>
          <w:i w:val="0"/>
          <w:color w:val="1F4E79"/>
          <w:sz w:val="24"/>
        </w:rPr>
        <w:t>A lição para nós</w:t>
      </w:r>
    </w:p>
    <w:p>
      <w:pPr>
        <w:spacing w:after="36" w:line="240" w:lineRule="auto"/>
      </w:pPr>
      <w:r>
        <w:rPr>
          <w:rFonts w:ascii="Aptos" w:hAnsi="Aptos" w:eastAsia="Aptos"/>
          <w:b w:val="0"/>
          <w:i w:val="0"/>
          <w:sz w:val="19"/>
        </w:rPr>
        <w:t>Os seres humanos preferem naturalmente colocar a culpa noutro lugar. A Escritura chama-nos antes a reconhecer a nossa responsabilidade. O pecado começa quando a palavra de Deus é posta em dúvida, o desejo é deixado governar e escolhemos o nosso caminho em vez do Seu. Compreender a linguagem de «demónio» e «Satanás» no contexto bíblico ajuda-nos a concentrar-nos no problema real: falsa adoração, oposição humana a Deus e desejos pecaminosos que surgem dentro de nós. A próxima lição desenvolve isto considerando «o diabo e o pecado».</w:t>
      </w:r>
    </w:p>
    <w:p>
      <w:pPr>
        <w:keepNext/>
        <w:spacing w:before="70" w:after="24"/>
      </w:pPr>
      <w:r>
        <w:rPr>
          <w:rFonts w:ascii="Aptos" w:hAnsi="Aptos" w:eastAsia="Aptos"/>
          <w:b/>
          <w:i w:val="0"/>
          <w:color w:val="1F4E79"/>
          <w:sz w:val="24"/>
        </w:rPr>
        <w:t>RESUMO</w:t>
      </w:r>
    </w:p>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pPr>
            <w:r>
              <w:rPr>
                <w:rFonts w:ascii="Aptos" w:hAnsi="Aptos" w:eastAsia="Aptos"/>
                <w:b/>
                <w:i w:val="0"/>
                <w:color w:val="1F4E79"/>
                <w:sz w:val="19"/>
              </w:rPr>
              <w:t>1</w:t>
            </w:r>
          </w:p>
        </w:tc>
        <w:tc>
          <w:tcPr>
            <w:tcW w:type="dxa" w:w="4975"/>
          </w:tcPr>
          <w:p>
            <w:r>
              <w:rPr>
                <w:rFonts w:ascii="Aptos" w:hAnsi="Aptos" w:eastAsia="Aptos"/>
                <w:b/>
                <w:i w:val="0"/>
                <w:color w:val="1F4E79"/>
                <w:sz w:val="18"/>
              </w:rPr>
              <w:t>A KJV usa palavras diferentes.</w:t>
            </w:r>
          </w:p>
          <w:p>
            <w:pPr>
              <w:spacing w:after="0"/>
            </w:pPr>
            <w:r>
              <w:rPr>
                <w:rFonts w:ascii="Aptos" w:hAnsi="Aptos" w:eastAsia="Aptos"/>
                <w:b w:val="0"/>
                <w:i w:val="0"/>
                <w:sz w:val="18"/>
              </w:rPr>
              <w:t>«Devils» em passagens de demónios, «the devil» e «Satan» não traduzem todos o mesmo termo original.</w:t>
            </w:r>
          </w:p>
        </w:tc>
      </w:tr>
    </w:tbl>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pPr>
            <w:r>
              <w:rPr>
                <w:rFonts w:ascii="Aptos" w:hAnsi="Aptos" w:eastAsia="Aptos"/>
                <w:b/>
                <w:i w:val="0"/>
                <w:color w:val="1F4E79"/>
                <w:sz w:val="19"/>
              </w:rPr>
              <w:t>2</w:t>
            </w:r>
          </w:p>
        </w:tc>
        <w:tc>
          <w:tcPr>
            <w:tcW w:type="dxa" w:w="4975"/>
          </w:tcPr>
          <w:p>
            <w:r>
              <w:rPr>
                <w:rFonts w:ascii="Aptos" w:hAnsi="Aptos" w:eastAsia="Aptos"/>
                <w:b/>
                <w:i w:val="0"/>
                <w:color w:val="1F4E79"/>
                <w:sz w:val="18"/>
              </w:rPr>
              <w:t>A linguagem dos demónios associa-se a aflição e falsa adoração.</w:t>
            </w:r>
          </w:p>
          <w:p>
            <w:pPr>
              <w:spacing w:after="0"/>
            </w:pPr>
            <w:r>
              <w:rPr>
                <w:rFonts w:ascii="Aptos" w:hAnsi="Aptos" w:eastAsia="Aptos"/>
                <w:b w:val="0"/>
                <w:i w:val="0"/>
                <w:sz w:val="18"/>
              </w:rPr>
              <w:t>Os cristadelfianos não entendem demónios bíblicos como seres malignos sobrenaturais independentes.</w:t>
            </w:r>
          </w:p>
        </w:tc>
      </w:tr>
    </w:tbl>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pPr>
            <w:r>
              <w:rPr>
                <w:rFonts w:ascii="Aptos" w:hAnsi="Aptos" w:eastAsia="Aptos"/>
                <w:b/>
                <w:i w:val="0"/>
                <w:color w:val="1F4E79"/>
                <w:sz w:val="19"/>
              </w:rPr>
              <w:t>3</w:t>
            </w:r>
          </w:p>
        </w:tc>
        <w:tc>
          <w:tcPr>
            <w:tcW w:type="dxa" w:w="4975"/>
          </w:tcPr>
          <w:p>
            <w:r>
              <w:rPr>
                <w:rFonts w:ascii="Aptos" w:hAnsi="Aptos" w:eastAsia="Aptos"/>
                <w:b/>
                <w:i w:val="0"/>
                <w:color w:val="1F4E79"/>
                <w:sz w:val="18"/>
              </w:rPr>
              <w:t>«Satanás» significa adversário ou oponente.</w:t>
            </w:r>
          </w:p>
          <w:p>
            <w:pPr>
              <w:spacing w:after="0"/>
            </w:pPr>
            <w:r>
              <w:rPr>
                <w:rFonts w:ascii="Aptos" w:hAnsi="Aptos" w:eastAsia="Aptos"/>
                <w:b w:val="0"/>
                <w:i w:val="0"/>
                <w:sz w:val="18"/>
              </w:rPr>
              <w:t>A palavra pode descrever opositores humanos e, em Números 22, até um anjo obediente que se colocou contra Balaão.</w:t>
            </w:r>
          </w:p>
        </w:tc>
      </w:tr>
    </w:tbl>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pPr>
            <w:r>
              <w:rPr>
                <w:rFonts w:ascii="Aptos" w:hAnsi="Aptos" w:eastAsia="Aptos"/>
                <w:b/>
                <w:i w:val="0"/>
                <w:color w:val="1F4E79"/>
                <w:sz w:val="19"/>
              </w:rPr>
              <w:t>4</w:t>
            </w:r>
          </w:p>
        </w:tc>
        <w:tc>
          <w:tcPr>
            <w:tcW w:type="dxa" w:w="4975"/>
          </w:tcPr>
          <w:p>
            <w:r>
              <w:rPr>
                <w:rFonts w:ascii="Aptos" w:hAnsi="Aptos" w:eastAsia="Aptos"/>
                <w:b/>
                <w:i w:val="0"/>
                <w:color w:val="1F4E79"/>
                <w:sz w:val="18"/>
              </w:rPr>
              <w:t>Isaías 14 e Ezequiel 28 têm governantes humanos em vista.</w:t>
            </w:r>
          </w:p>
          <w:p>
            <w:pPr>
              <w:spacing w:after="0"/>
            </w:pPr>
            <w:r>
              <w:rPr>
                <w:rFonts w:ascii="Aptos" w:hAnsi="Aptos" w:eastAsia="Aptos"/>
                <w:b w:val="0"/>
                <w:i w:val="0"/>
                <w:sz w:val="18"/>
              </w:rPr>
              <w:t>A linguagem poética diz respeito ao rei de Babilónia e ao rei de Tiro nos seus contextos imediatos.</w:t>
            </w:r>
          </w:p>
        </w:tc>
      </w:tr>
    </w:tbl>
    <w:tbl>
      <w:tblPr>
        <w:tblW w:type="auto" w:w="0"/>
        <w:jc w:val="center"/>
        <w:tblLook w:firstColumn="1" w:firstRow="1" w:lastColumn="0" w:lastRow="0" w:noHBand="0" w:noVBand="1" w:val="04A0"/>
      </w:tblPr>
      <w:tblGrid>
        <w:gridCol w:w="4975"/>
        <w:gridCol w:w="4975"/>
      </w:tblGrid>
      <w:tr>
        <w:trPr>
          <w:cantSplit/>
        </w:trPr>
        <w:tc>
          <w:tcPr>
            <w:tcW w:type="dxa" w:w="4975"/>
            <w:shd w:fill="D9EAF7"/>
          </w:tcPr>
          <w:p>
            <w:pPr>
              <w:jc w:val="center"/>
            </w:pPr>
            <w:r>
              <w:rPr>
                <w:rFonts w:ascii="Aptos" w:hAnsi="Aptos" w:eastAsia="Aptos"/>
                <w:b/>
                <w:i w:val="0"/>
                <w:color w:val="1F4E79"/>
                <w:sz w:val="19"/>
              </w:rPr>
              <w:t>5</w:t>
            </w:r>
          </w:p>
        </w:tc>
        <w:tc>
          <w:tcPr>
            <w:tcW w:type="dxa" w:w="4975"/>
          </w:tcPr>
          <w:p>
            <w:r>
              <w:rPr>
                <w:rFonts w:ascii="Aptos" w:hAnsi="Aptos" w:eastAsia="Aptos"/>
                <w:b/>
                <w:i w:val="0"/>
                <w:color w:val="1F4E79"/>
                <w:sz w:val="18"/>
              </w:rPr>
              <w:t>Génesis responsabiliza Adão e Eva pelo pecado.</w:t>
            </w:r>
          </w:p>
          <w:p>
            <w:pPr>
              <w:spacing w:after="0"/>
            </w:pPr>
            <w:r>
              <w:rPr>
                <w:rFonts w:ascii="Aptos" w:hAnsi="Aptos" w:eastAsia="Aptos"/>
                <w:b w:val="0"/>
                <w:i w:val="0"/>
                <w:sz w:val="18"/>
              </w:rPr>
              <w:t>O relato descreve a serpente e a desobediência humana; não introduz um Satanás sobrenatural por trás do acontecimento.</w:t>
            </w:r>
          </w:p>
        </w:tc>
      </w:tr>
    </w:tbl>
    <w:p>
      <w:pPr>
        <w:keepNext/>
        <w:spacing w:before="70" w:after="24"/>
      </w:pPr>
      <w:r>
        <w:rPr>
          <w:rFonts w:ascii="Aptos" w:hAnsi="Aptos" w:eastAsia="Aptos"/>
          <w:b/>
          <w:i w:val="0"/>
          <w:color w:val="1F4E79"/>
          <w:sz w:val="24"/>
        </w:rPr>
        <w:t>Capítulos para ler</w:t>
      </w:r>
    </w:p>
    <w:p>
      <w:pPr>
        <w:spacing w:after="36" w:line="240" w:lineRule="auto"/>
      </w:pPr>
      <w:r>
        <w:rPr>
          <w:rFonts w:ascii="Aptos" w:hAnsi="Aptos" w:eastAsia="Aptos"/>
          <w:b w:val="0"/>
          <w:i w:val="0"/>
          <w:sz w:val="19"/>
        </w:rPr>
        <w:t>Mateus 16:21-28  •  Números 22  •  Isaías 14  •  Ezequiel 28</w:t>
      </w:r>
    </w:p>
    <w:p>
      <w:pPr>
        <w:keepNext/>
        <w:spacing w:before="70" w:after="24"/>
      </w:pPr>
      <w:r>
        <w:rPr>
          <w:rFonts w:ascii="Aptos" w:hAnsi="Aptos" w:eastAsia="Aptos"/>
          <w:b/>
          <w:i w:val="0"/>
          <w:color w:val="1F4E79"/>
          <w:sz w:val="24"/>
        </w:rPr>
        <w:t>DECORAR  •  MATEUS 8:16-17</w:t>
      </w:r>
    </w:p>
    <w:tbl>
      <w:tblPr>
        <w:tblW w:type="auto" w:w="0"/>
        <w:jc w:val="center"/>
        <w:tblLook w:firstColumn="1" w:firstRow="1" w:lastColumn="0" w:lastRow="0" w:noHBand="0" w:noVBand="1" w:val="04A0"/>
      </w:tblPr>
      <w:tblGrid>
        <w:gridCol w:w="9951"/>
      </w:tblGrid>
      <w:tr>
        <w:trPr>
          <w:cantSplit/>
        </w:trPr>
        <w:tc>
          <w:tcPr>
            <w:tcW w:type="dxa" w:w="9951"/>
            <w:shd w:fill="EDF4F9"/>
          </w:tcPr>
          <w:p>
            <w:pPr>
              <w:spacing w:after="10"/>
            </w:pPr>
            <w:r>
              <w:rPr>
                <w:rFonts w:ascii="Aptos" w:hAnsi="Aptos" w:eastAsia="Aptos"/>
                <w:b w:val="0"/>
                <w:i/>
                <w:sz w:val="19"/>
              </w:rPr>
              <w:t>«E, chegada a tarde, trouxeram-lhe muitos endemoninhados, e ele com a sua palavra expulsou deles os espíritos, e curou todos os que estavam enfermos; para que se cumprisse o que fora dito pelo profeta Isaías: Ele tomou sobre si as nossas enfermidades e levou as nossas doenças.»</w:t>
            </w:r>
          </w:p>
          <w:p>
            <w:pPr>
              <w:spacing w:after="0"/>
            </w:pPr>
            <w:r>
              <w:rPr>
                <w:rFonts w:ascii="Aptos" w:hAnsi="Aptos" w:eastAsia="Aptos"/>
                <w:b/>
                <w:i w:val="0"/>
                <w:color w:val="333333"/>
                <w:sz w:val="17"/>
              </w:rPr>
              <w:t>Mateus 8:16-17  •  King James Version</w:t>
            </w:r>
          </w:p>
        </w:tc>
      </w:tr>
    </w:tbl>
    <w:sectPr w:rsidR="00FC693F" w:rsidRPr="0006063C" w:rsidSect="00034616">
      <w:headerReference w:type="default" r:id="rId9"/>
      <w:footerReference w:type="default" r:id="rId10"/>
      <w:pgSz w:w="11909" w:h="16834"/>
      <w:pgMar w:top="749" w:right="979" w:bottom="778"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b w:val="0"/>
        <w:i w:val="0"/>
        <w:color w:val="333333"/>
        <w:sz w:val="15"/>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eastAsia="Aptos"/>
        <w:b/>
        <w:i w:val="0"/>
        <w:color w:val="1F4E79"/>
        <w:sz w:val="16"/>
      </w:rPr>
      <w:t>CURSO BÍBLICO POR CORRESPONDÊNCIA CRISTADELFIANO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