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w:t>
      </w:r>
    </w:p>
    <w:p>
      <w:pPr>
        <w:pStyle w:val="Subtitle"/>
      </w:pPr>
      <w:r>
        <w:t>THE WORDS • DIVINE FAITHFULNESS • REMEMBRANCE, WARNING AND EXHORTATION BEFORE THE INHERITANCE</w:t>
      </w:r>
    </w:p>
    <w:p>
      <w:pPr/>
      <w:r>
        <w:rPr>
          <w:i/>
        </w:rPr>
        <w:t>H. P. Mansfield Bible notes — checked and arranged as an Expositor-style book introduction</w:t>
      </w:r>
    </w:p>
    <w:p>
      <w:pPr/>
      <w:r>
        <w:rPr>
          <w:i w:val="0"/>
        </w:rPr>
        <w:t>Source: HPB 03-Lev12-Num36.PDF pp. 99–100 and HPB 04-Deu01-Jud04.PDF p. 1; cross-checked with Mansfield’s Deuteronomy Introduction.</w:t>
      </w:r>
    </w:p>
    <w:p>
      <w:pPr>
        <w:pStyle w:val="Heading1"/>
      </w:pPr>
      <w:r>
        <w:t>THE NAME AND CHARACTER OF THE BOOK</w:t>
      </w:r>
    </w:p>
    <w:p>
      <w:pPr/>
      <w:r>
        <w:rPr>
          <w:i w:val="0"/>
        </w:rPr>
        <w:t>The Hebrew book-title is Devarim / Haddebarim, “the words,” from the opening phrase “These be the words.” The familiar English title comes through the Greek Deuteronomion. Deuteronomy 17:18 uses mishneh hattorah, “a copy/repetition of this law,” which the Septuagint renders with the expression from which the title developed.</w:t>
      </w:r>
    </w:p>
    <w:p>
      <w:pPr/>
      <w:r>
        <w:rPr>
          <w:i w:val="0"/>
        </w:rPr>
        <w:t>Accordingly, Deuteronomy should not be thought of as a second independent law replacing Sinai. Moses restates, explains and applies Yahweh’s covenant instruction to the generation standing on the plains of Moab before entry into Canaan.</w:t>
      </w:r>
    </w:p>
    <w:p>
      <w:pPr/>
      <w:r>
        <w:rPr>
          <w:i w:val="0"/>
        </w:rPr>
        <w:t>Mansfield’s subtitle, “Divine Faithfulness — in disciplining and delivering,” accurately captures a dominant theme. Forty years of history are turned into exhortation: remember what Yahweh did, understand why judgment came, and therefore hear, love, fear and obey.</w:t>
      </w:r>
    </w:p>
    <w:p>
      <w:pPr>
        <w:pStyle w:val="Heading1"/>
      </w:pPr>
      <w:r>
        <w:t>A BOOK OF TRANSITION</w:t>
      </w:r>
    </w:p>
    <w:p>
      <w:pPr/>
      <w:r>
        <w:rPr>
          <w:i w:val="0"/>
        </w:rPr>
        <w:t>The wilderness generation has largely passed away. Sihon and Og have been defeated, Joshua is being prepared to succeed Moses, and the nation is about to change from wilderness pilgrimage to settled life in the land.</w:t>
      </w:r>
    </w:p>
    <w:p>
      <w:pPr/>
      <w:r>
        <w:rPr>
          <w:i w:val="0"/>
        </w:rPr>
        <w:t>Mansfield’s broader parallel between Deuteronomy and Acts is useful typology: both are fifth books in their respective opening sequences and both contain major transitions. It is not, however, an inspired structural identification stated by either book.</w:t>
      </w:r>
    </w:p>
    <w:p>
      <w:pPr/>
      <w:r>
        <w:rPr>
          <w:i w:val="0"/>
        </w:rPr>
        <w:t>The claim that circumcision had ceased during the wilderness is explicitly supported by Joshua 5:5–7. Mansfield also states that Passover and sacrificial worship were abandoned for thirty-eight years. Scripture certainly records the Passover in the second year (Numbers 9) and later in Canaan (Joshua 5), and Amos 5:25 raises questions about wilderness sacrifice; the exact continuity of every observance throughout the intervening years should therefore be stated cautiously rather than absolutely.</w:t>
      </w:r>
    </w:p>
    <w:p>
      <w:pPr>
        <w:pStyle w:val="Heading1"/>
      </w:pPr>
      <w:r>
        <w:t>PURPOSE: REMEMBER, HEAR AND DO</w:t>
      </w:r>
    </w:p>
    <w:p>
      <w:pPr>
        <w:ind w:left="259" w:hanging="202"/>
      </w:pPr>
      <w:r>
        <w:rPr>
          <w:b/>
        </w:rPr>
        <w:t xml:space="preserve">• </w:t>
      </w:r>
      <w:r>
        <w:t>Remember: history is interpreted morally, not merely recited.</w:t>
      </w:r>
    </w:p>
    <w:p>
      <w:pPr>
        <w:ind w:left="259" w:hanging="202"/>
      </w:pPr>
      <w:r>
        <w:rPr>
          <w:b/>
        </w:rPr>
        <w:t xml:space="preserve">• </w:t>
      </w:r>
      <w:r>
        <w:t>Hear: revelation requires attentive reception.</w:t>
      </w:r>
    </w:p>
    <w:p>
      <w:pPr>
        <w:ind w:left="259" w:hanging="202"/>
      </w:pPr>
      <w:r>
        <w:rPr>
          <w:b/>
        </w:rPr>
        <w:t xml:space="preserve">• </w:t>
      </w:r>
      <w:r>
        <w:t>Take heed: covenant privilege creates personal responsibility.</w:t>
      </w:r>
    </w:p>
    <w:p>
      <w:pPr>
        <w:ind w:left="259" w:hanging="202"/>
      </w:pPr>
      <w:r>
        <w:rPr>
          <w:b/>
        </w:rPr>
        <w:t xml:space="preserve">• </w:t>
      </w:r>
      <w:r>
        <w:t>Love and fear Yahweh: Deuteronomy repeatedly joins affection, reverence and obedience.</w:t>
      </w:r>
    </w:p>
    <w:p>
      <w:pPr>
        <w:ind w:left="259" w:hanging="202"/>
      </w:pPr>
      <w:r>
        <w:rPr>
          <w:b/>
        </w:rPr>
        <w:t xml:space="preserve">• </w:t>
      </w:r>
      <w:r>
        <w:t>Teach the children: covenant memory must pass deliberately to the next generation.</w:t>
      </w:r>
    </w:p>
    <w:p>
      <w:pPr>
        <w:ind w:left="259" w:hanging="202"/>
      </w:pPr>
      <w:r>
        <w:rPr>
          <w:b/>
        </w:rPr>
        <w:t xml:space="preserve">• </w:t>
      </w:r>
      <w:r>
        <w:t>Do not forget: prosperity in the land can become spiritually more dangerous than hardship in the wilderness.</w:t>
      </w:r>
    </w:p>
    <w:p>
      <w:pPr>
        <w:ind w:left="259" w:hanging="202"/>
      </w:pPr>
      <w:r>
        <w:rPr>
          <w:b/>
        </w:rPr>
        <w:t xml:space="preserve">• </w:t>
      </w:r>
      <w:r>
        <w:t>Keep and do: knowledge of the law is never presented as sufficient without obedience.</w:t>
      </w:r>
    </w:p>
    <w:p>
      <w:pPr>
        <w:pStyle w:val="Heading1"/>
      </w:pPr>
      <w:r>
        <w:t>MANSFIELD’S EIGHT-DISCOURSE ANALYSIS</w:t>
      </w:r>
    </w:p>
    <w:p>
      <w:pPr>
        <w:ind w:left="259" w:hanging="202"/>
      </w:pPr>
      <w:r>
        <w:rPr>
          <w:b/>
        </w:rPr>
        <w:t xml:space="preserve">• </w:t>
      </w:r>
      <w:r>
        <w:t>1. Retrospect — Israel’s faithlessness and Yahweh’s care (1:1–4:43).</w:t>
      </w:r>
    </w:p>
    <w:p>
      <w:pPr>
        <w:ind w:left="259" w:hanging="202"/>
      </w:pPr>
      <w:r>
        <w:rPr>
          <w:b/>
        </w:rPr>
        <w:t xml:space="preserve">• </w:t>
      </w:r>
      <w:r>
        <w:t>2. Review and application of covenant life (4:44–26:19).</w:t>
      </w:r>
    </w:p>
    <w:p>
      <w:pPr>
        <w:ind w:left="259" w:hanging="202"/>
      </w:pPr>
      <w:r>
        <w:rPr>
          <w:b/>
        </w:rPr>
        <w:t xml:space="preserve">• </w:t>
      </w:r>
      <w:r>
        <w:t>3. Ceremony, blessings and curses (27–28).</w:t>
      </w:r>
    </w:p>
    <w:p>
      <w:pPr>
        <w:ind w:left="259" w:hanging="202"/>
      </w:pPr>
      <w:r>
        <w:rPr>
          <w:b/>
        </w:rPr>
        <w:t xml:space="preserve">• </w:t>
      </w:r>
      <w:r>
        <w:t>4. Covenant renewal and restoration after repentance (29–30).</w:t>
      </w:r>
    </w:p>
    <w:p>
      <w:pPr>
        <w:ind w:left="259" w:hanging="202"/>
      </w:pPr>
      <w:r>
        <w:rPr>
          <w:b/>
        </w:rPr>
        <w:t xml:space="preserve">• </w:t>
      </w:r>
      <w:r>
        <w:t>5. Moses’ final counsel and Joshua’s preparation (31).</w:t>
      </w:r>
    </w:p>
    <w:p>
      <w:pPr>
        <w:ind w:left="259" w:hanging="202"/>
      </w:pPr>
      <w:r>
        <w:rPr>
          <w:b/>
        </w:rPr>
        <w:t xml:space="preserve">• </w:t>
      </w:r>
      <w:r>
        <w:t>6. The Song of Moses as witness (32).</w:t>
      </w:r>
    </w:p>
    <w:p>
      <w:pPr>
        <w:ind w:left="259" w:hanging="202"/>
      </w:pPr>
      <w:r>
        <w:rPr>
          <w:b/>
        </w:rPr>
        <w:t xml:space="preserve">• </w:t>
      </w:r>
      <w:r>
        <w:t>7. Moses’ blessing of the tribes (33).</w:t>
      </w:r>
    </w:p>
    <w:p>
      <w:pPr>
        <w:ind w:left="259" w:hanging="202"/>
      </w:pPr>
      <w:r>
        <w:rPr>
          <w:b/>
        </w:rPr>
        <w:t xml:space="preserve">• </w:t>
      </w:r>
      <w:r>
        <w:t>8. Moses’ death and Joshua’s succession (34).</w:t>
      </w:r>
    </w:p>
    <w:p>
      <w:pPr/>
      <w:r>
        <w:rPr>
          <w:i w:val="0"/>
        </w:rPr>
        <w:t>This is a useful expositional outline, but the biblical text does not itself number “eight discourses.” The divisions are Mansfield’s study structure.</w:t>
      </w:r>
    </w:p>
    <w:p>
      <w:pPr>
        <w:pStyle w:val="Heading1"/>
      </w:pPr>
      <w:r>
        <w:t>KEY THEOLOGICAL EMPHASES</w:t>
      </w:r>
    </w:p>
    <w:p>
      <w:pPr/>
      <w:r>
        <w:rPr>
          <w:i w:val="0"/>
        </w:rPr>
        <w:t>Deuteronomy repeatedly grounds obedience in grace already received. Yahweh loved the fathers, chose their seed, redeemed Israel from Egypt and sustained them in the wilderness. Israel does not earn redemption by keeping commandments; the redeemed people are called to covenant faithfulness.</w:t>
      </w:r>
    </w:p>
    <w:p>
      <w:pPr/>
      <w:r>
        <w:rPr>
          <w:i w:val="0"/>
        </w:rPr>
        <w:t>The book also prevents national pride. Possession of the land is not because of Israel’s inherent righteousness. Discipline, mercy, warning and promise run together, culminating in the call to choose life and return to Yahweh with heart and soul.</w:t>
      </w:r>
    </w:p>
    <w:p>
      <w:pPr/>
      <w:r>
        <w:rPr>
          <w:i w:val="0"/>
        </w:rPr>
        <w:t>The New Testament frequently cites Deuteronomy. Jesus answers the wilderness temptations from Deuteronomy 6 and 8; the greatest-commandment teaching draws on Deuteronomy 6:4–5; Acts 3 and 7 apply the prophet-like-Moses promise; Paul repeatedly uses the book in Romans, Corinthians and Galatians.</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pPr>
              <w:spacing w:after="0" w:line="211" w:lineRule="auto"/>
            </w:pPr>
            <w:r>
              <w:rPr>
                <w:rFonts w:ascii="Arial" w:hAnsi="Arial"/>
                <w:b/>
                <w:sz w:val="14"/>
              </w:rPr>
              <w:t>Location</w:t>
            </w:r>
          </w:p>
        </w:tc>
        <w:tc>
          <w:tcPr>
            <w:tcW w:type="dxa" w:w="3561"/>
          </w:tcPr>
          <w:p>
            <w:pPr>
              <w:spacing w:after="0" w:line="211" w:lineRule="auto"/>
            </w:pPr>
            <w:r>
              <w:rPr>
                <w:rFonts w:ascii="Arial" w:hAnsi="Arial"/>
                <w:b/>
                <w:sz w:val="14"/>
              </w:rPr>
              <w:t>Checked / corrected reading</w:t>
            </w:r>
          </w:p>
        </w:tc>
        <w:tc>
          <w:tcPr>
            <w:tcW w:type="dxa" w:w="3561"/>
          </w:tcPr>
          <w:p>
            <w:pPr>
              <w:spacing w:after="0" w:line="211" w:lineRule="auto"/>
            </w:pPr>
            <w:r>
              <w:rPr>
                <w:rFonts w:ascii="Arial" w:hAnsi="Arial"/>
                <w:b/>
                <w:sz w:val="14"/>
              </w:rPr>
              <w:t>Basis</w:t>
            </w:r>
          </w:p>
        </w:tc>
      </w:tr>
      <w:tr>
        <w:tc>
          <w:tcPr>
            <w:tcW w:type="dxa" w:w="3561"/>
            <w:vAlign w:val="top"/>
          </w:tcPr>
          <w:p>
            <w:pPr>
              <w:spacing w:after="0" w:line="211" w:lineRule="auto"/>
            </w:pPr>
            <w:r>
              <w:rPr>
                <w:rFonts w:ascii="Times New Roman" w:hAnsi="Times New Roman"/>
                <w:sz w:val="12"/>
              </w:rPr>
              <w:t>Hebrew title</w:t>
            </w:r>
          </w:p>
        </w:tc>
        <w:tc>
          <w:tcPr>
            <w:tcW w:type="dxa" w:w="3561"/>
            <w:vAlign w:val="top"/>
          </w:tcPr>
          <w:p>
            <w:pPr>
              <w:spacing w:after="0" w:line="211" w:lineRule="auto"/>
            </w:pPr>
            <w:r>
              <w:rPr>
                <w:rFonts w:ascii="Times New Roman" w:hAnsi="Times New Roman"/>
                <w:sz w:val="12"/>
              </w:rPr>
              <w:t>Devarim / Haddebarim = “the words”</w:t>
            </w:r>
          </w:p>
        </w:tc>
        <w:tc>
          <w:tcPr>
            <w:tcW w:type="dxa" w:w="3561"/>
            <w:vAlign w:val="top"/>
          </w:tcPr>
          <w:p>
            <w:pPr>
              <w:spacing w:after="0" w:line="211" w:lineRule="auto"/>
            </w:pPr>
            <w:r>
              <w:rPr>
                <w:rFonts w:ascii="Times New Roman" w:hAnsi="Times New Roman"/>
                <w:sz w:val="12"/>
              </w:rPr>
              <w:t>From Deut. 1:1; standard Hebrew title.</w:t>
            </w:r>
          </w:p>
        </w:tc>
      </w:tr>
      <w:tr>
        <w:tc>
          <w:tcPr>
            <w:tcW w:type="dxa" w:w="3561"/>
            <w:vAlign w:val="top"/>
          </w:tcPr>
          <w:p>
            <w:pPr>
              <w:spacing w:after="0" w:line="211" w:lineRule="auto"/>
            </w:pPr>
            <w:r>
              <w:rPr>
                <w:rFonts w:ascii="Times New Roman" w:hAnsi="Times New Roman"/>
                <w:sz w:val="12"/>
              </w:rPr>
              <w:t>Greek title</w:t>
            </w:r>
          </w:p>
        </w:tc>
        <w:tc>
          <w:tcPr>
            <w:tcW w:type="dxa" w:w="3561"/>
            <w:vAlign w:val="top"/>
          </w:tcPr>
          <w:p>
            <w:pPr>
              <w:spacing w:after="0" w:line="211" w:lineRule="auto"/>
            </w:pPr>
            <w:r>
              <w:rPr>
                <w:rFonts w:ascii="Times New Roman" w:hAnsi="Times New Roman"/>
                <w:sz w:val="12"/>
              </w:rPr>
              <w:t>Deuteronomion associated with “copy/repetition of this law”</w:t>
            </w:r>
          </w:p>
        </w:tc>
        <w:tc>
          <w:tcPr>
            <w:tcW w:type="dxa" w:w="3561"/>
            <w:vAlign w:val="top"/>
          </w:tcPr>
          <w:p>
            <w:pPr>
              <w:spacing w:after="0" w:line="211" w:lineRule="auto"/>
            </w:pPr>
            <w:r>
              <w:rPr>
                <w:rFonts w:ascii="Times New Roman" w:hAnsi="Times New Roman"/>
                <w:sz w:val="12"/>
              </w:rPr>
              <w:t>Deut. 17:18 LXX background; not a new independent law.</w:t>
            </w:r>
          </w:p>
        </w:tc>
      </w:tr>
      <w:tr>
        <w:tc>
          <w:tcPr>
            <w:tcW w:type="dxa" w:w="3561"/>
            <w:vAlign w:val="top"/>
          </w:tcPr>
          <w:p>
            <w:pPr>
              <w:spacing w:after="0" w:line="211" w:lineRule="auto"/>
            </w:pPr>
            <w:r>
              <w:rPr>
                <w:rFonts w:ascii="Times New Roman" w:hAnsi="Times New Roman"/>
                <w:sz w:val="12"/>
              </w:rPr>
              <w:t>Book character</w:t>
            </w:r>
          </w:p>
        </w:tc>
        <w:tc>
          <w:tcPr>
            <w:tcW w:type="dxa" w:w="3561"/>
            <w:vAlign w:val="top"/>
          </w:tcPr>
          <w:p>
            <w:pPr>
              <w:spacing w:after="0" w:line="211" w:lineRule="auto"/>
            </w:pPr>
            <w:r>
              <w:rPr>
                <w:rFonts w:ascii="Times New Roman" w:hAnsi="Times New Roman"/>
                <w:sz w:val="12"/>
              </w:rPr>
              <w:t>Restatement, explanation and application</w:t>
            </w:r>
          </w:p>
        </w:tc>
        <w:tc>
          <w:tcPr>
            <w:tcW w:type="dxa" w:w="3561"/>
            <w:vAlign w:val="top"/>
          </w:tcPr>
          <w:p>
            <w:pPr>
              <w:spacing w:after="0" w:line="211" w:lineRule="auto"/>
            </w:pPr>
            <w:r>
              <w:rPr>
                <w:rFonts w:ascii="Times New Roman" w:hAnsi="Times New Roman"/>
                <w:sz w:val="12"/>
              </w:rPr>
              <w:t>Moses addresses the new generation before Canaan.</w:t>
            </w:r>
          </w:p>
        </w:tc>
      </w:tr>
      <w:tr>
        <w:tc>
          <w:tcPr>
            <w:tcW w:type="dxa" w:w="3561"/>
            <w:vAlign w:val="top"/>
          </w:tcPr>
          <w:p>
            <w:pPr>
              <w:spacing w:after="0" w:line="211" w:lineRule="auto"/>
            </w:pPr>
            <w:r>
              <w:rPr>
                <w:rFonts w:ascii="Times New Roman" w:hAnsi="Times New Roman"/>
                <w:sz w:val="12"/>
              </w:rPr>
              <w:t>“Eight discourses”</w:t>
            </w:r>
          </w:p>
        </w:tc>
        <w:tc>
          <w:tcPr>
            <w:tcW w:type="dxa" w:w="3561"/>
            <w:vAlign w:val="top"/>
          </w:tcPr>
          <w:p>
            <w:pPr>
              <w:spacing w:after="0" w:line="211" w:lineRule="auto"/>
            </w:pPr>
            <w:r>
              <w:rPr>
                <w:rFonts w:ascii="Times New Roman" w:hAnsi="Times New Roman"/>
                <w:sz w:val="12"/>
              </w:rPr>
              <w:t>Mansfield analysis</w:t>
            </w:r>
          </w:p>
        </w:tc>
        <w:tc>
          <w:tcPr>
            <w:tcW w:type="dxa" w:w="3561"/>
            <w:vAlign w:val="top"/>
          </w:tcPr>
          <w:p>
            <w:pPr>
              <w:spacing w:after="0" w:line="211" w:lineRule="auto"/>
            </w:pPr>
            <w:r>
              <w:rPr>
                <w:rFonts w:ascii="Times New Roman" w:hAnsi="Times New Roman"/>
                <w:sz w:val="12"/>
              </w:rPr>
              <w:t>Useful outline, not an inspired numbered structure.</w:t>
            </w:r>
          </w:p>
        </w:tc>
      </w:tr>
      <w:tr>
        <w:tc>
          <w:tcPr>
            <w:tcW w:type="dxa" w:w="3561"/>
            <w:vAlign w:val="top"/>
          </w:tcPr>
          <w:p>
            <w:pPr>
              <w:spacing w:after="0" w:line="211" w:lineRule="auto"/>
            </w:pPr>
            <w:r>
              <w:rPr>
                <w:rFonts w:ascii="Times New Roman" w:hAnsi="Times New Roman"/>
                <w:sz w:val="12"/>
              </w:rPr>
              <w:t>Circumcision in wilderness</w:t>
            </w:r>
          </w:p>
        </w:tc>
        <w:tc>
          <w:tcPr>
            <w:tcW w:type="dxa" w:w="3561"/>
            <w:vAlign w:val="top"/>
          </w:tcPr>
          <w:p>
            <w:pPr>
              <w:spacing w:after="0" w:line="211" w:lineRule="auto"/>
            </w:pPr>
            <w:r>
              <w:rPr>
                <w:rFonts w:ascii="Times New Roman" w:hAnsi="Times New Roman"/>
                <w:sz w:val="12"/>
              </w:rPr>
              <w:t>Suspension explicitly noted</w:t>
            </w:r>
          </w:p>
        </w:tc>
        <w:tc>
          <w:tcPr>
            <w:tcW w:type="dxa" w:w="3561"/>
            <w:vAlign w:val="top"/>
          </w:tcPr>
          <w:p>
            <w:pPr>
              <w:spacing w:after="0" w:line="211" w:lineRule="auto"/>
            </w:pPr>
            <w:r>
              <w:rPr>
                <w:rFonts w:ascii="Times New Roman" w:hAnsi="Times New Roman"/>
                <w:sz w:val="12"/>
              </w:rPr>
              <w:t>Josh. 5:5–7.</w:t>
            </w:r>
          </w:p>
        </w:tc>
      </w:tr>
      <w:tr>
        <w:tc>
          <w:tcPr>
            <w:tcW w:type="dxa" w:w="3561"/>
            <w:vAlign w:val="top"/>
          </w:tcPr>
          <w:p>
            <w:pPr>
              <w:spacing w:after="0" w:line="211" w:lineRule="auto"/>
            </w:pPr>
            <w:r>
              <w:rPr>
                <w:rFonts w:ascii="Times New Roman" w:hAnsi="Times New Roman"/>
                <w:sz w:val="12"/>
              </w:rPr>
              <w:t>Passover through 38 years</w:t>
            </w:r>
          </w:p>
        </w:tc>
        <w:tc>
          <w:tcPr>
            <w:tcW w:type="dxa" w:w="3561"/>
            <w:vAlign w:val="top"/>
          </w:tcPr>
          <w:p>
            <w:pPr>
              <w:spacing w:after="0" w:line="211" w:lineRule="auto"/>
            </w:pPr>
            <w:r>
              <w:rPr>
                <w:rFonts w:ascii="Times New Roman" w:hAnsi="Times New Roman"/>
                <w:sz w:val="12"/>
              </w:rPr>
              <w:t>Do not state total cessation as certain</w:t>
            </w:r>
          </w:p>
        </w:tc>
        <w:tc>
          <w:tcPr>
            <w:tcW w:type="dxa" w:w="3561"/>
            <w:vAlign w:val="top"/>
          </w:tcPr>
          <w:p>
            <w:pPr>
              <w:spacing w:after="0" w:line="211" w:lineRule="auto"/>
            </w:pPr>
            <w:r>
              <w:rPr>
                <w:rFonts w:ascii="Times New Roman" w:hAnsi="Times New Roman"/>
                <w:sz w:val="12"/>
              </w:rPr>
              <w:t>Num. 9 records year-two Passover; Josh. 5 records Canaan Passover.</w:t>
            </w:r>
          </w:p>
        </w:tc>
      </w:tr>
      <w:tr>
        <w:tc>
          <w:tcPr>
            <w:tcW w:type="dxa" w:w="3561"/>
            <w:vAlign w:val="top"/>
          </w:tcPr>
          <w:p>
            <w:pPr>
              <w:spacing w:after="0" w:line="211" w:lineRule="auto"/>
            </w:pPr>
            <w:r>
              <w:rPr>
                <w:rFonts w:ascii="Times New Roman" w:hAnsi="Times New Roman"/>
                <w:sz w:val="12"/>
              </w:rPr>
              <w:t>Wilderness sacrifices</w:t>
            </w:r>
          </w:p>
        </w:tc>
        <w:tc>
          <w:tcPr>
            <w:tcW w:type="dxa" w:w="3561"/>
            <w:vAlign w:val="top"/>
          </w:tcPr>
          <w:p>
            <w:pPr>
              <w:spacing w:after="0" w:line="211" w:lineRule="auto"/>
            </w:pPr>
            <w:r>
              <w:rPr>
                <w:rFonts w:ascii="Times New Roman" w:hAnsi="Times New Roman"/>
                <w:sz w:val="12"/>
              </w:rPr>
              <w:t>Continuity debated</w:t>
            </w:r>
          </w:p>
        </w:tc>
        <w:tc>
          <w:tcPr>
            <w:tcW w:type="dxa" w:w="3561"/>
            <w:vAlign w:val="top"/>
          </w:tcPr>
          <w:p>
            <w:pPr>
              <w:spacing w:after="0" w:line="211" w:lineRule="auto"/>
            </w:pPr>
            <w:r>
              <w:rPr>
                <w:rFonts w:ascii="Times New Roman" w:hAnsi="Times New Roman"/>
                <w:sz w:val="12"/>
              </w:rPr>
              <w:t>Amos 5:25 relevant; avoid absolute reconstruction.</w:t>
            </w:r>
          </w:p>
        </w:tc>
      </w:tr>
      <w:tr>
        <w:tc>
          <w:tcPr>
            <w:tcW w:type="dxa" w:w="3561"/>
            <w:vAlign w:val="top"/>
          </w:tcPr>
          <w:p>
            <w:pPr>
              <w:spacing w:after="0" w:line="211" w:lineRule="auto"/>
            </w:pPr>
            <w:r>
              <w:rPr>
                <w:rFonts w:ascii="Times New Roman" w:hAnsi="Times New Roman"/>
                <w:sz w:val="12"/>
              </w:rPr>
              <w:t>Acts parallel</w:t>
            </w:r>
          </w:p>
        </w:tc>
        <w:tc>
          <w:tcPr>
            <w:tcW w:type="dxa" w:w="3561"/>
            <w:vAlign w:val="top"/>
          </w:tcPr>
          <w:p>
            <w:pPr>
              <w:spacing w:after="0" w:line="211" w:lineRule="auto"/>
            </w:pPr>
            <w:r>
              <w:rPr>
                <w:rFonts w:ascii="Times New Roman" w:hAnsi="Times New Roman"/>
                <w:sz w:val="12"/>
              </w:rPr>
              <w:t>Typological/expositional</w:t>
            </w:r>
          </w:p>
        </w:tc>
        <w:tc>
          <w:tcPr>
            <w:tcW w:type="dxa" w:w="3561"/>
            <w:vAlign w:val="top"/>
          </w:tcPr>
          <w:p>
            <w:pPr>
              <w:spacing w:after="0" w:line="211" w:lineRule="auto"/>
            </w:pPr>
            <w:r>
              <w:rPr>
                <w:rFonts w:ascii="Times New Roman" w:hAnsi="Times New Roman"/>
                <w:sz w:val="12"/>
              </w:rPr>
              <w:t>Not stated by Scripture as a formal canonical parallel.</w:t>
            </w:r>
          </w:p>
        </w:tc>
      </w:tr>
      <w:tr>
        <w:tc>
          <w:tcPr>
            <w:tcW w:type="dxa" w:w="3561"/>
            <w:vAlign w:val="top"/>
          </w:tcPr>
          <w:p>
            <w:pPr>
              <w:spacing w:after="0" w:line="211" w:lineRule="auto"/>
            </w:pPr>
            <w:r>
              <w:rPr>
                <w:rFonts w:ascii="Times New Roman" w:hAnsi="Times New Roman"/>
                <w:sz w:val="12"/>
              </w:rPr>
              <w:t>NT citation OCR</w:t>
            </w:r>
          </w:p>
        </w:tc>
        <w:tc>
          <w:tcPr>
            <w:tcW w:type="dxa" w:w="3561"/>
            <w:vAlign w:val="top"/>
          </w:tcPr>
          <w:p>
            <w:pPr>
              <w:spacing w:after="0" w:line="211" w:lineRule="auto"/>
            </w:pPr>
            <w:r>
              <w:rPr>
                <w:rFonts w:ascii="Times New Roman" w:hAnsi="Times New Roman"/>
                <w:sz w:val="12"/>
              </w:rPr>
              <w:t>Matt. 4:4,7,10</w:t>
            </w:r>
          </w:p>
        </w:tc>
        <w:tc>
          <w:tcPr>
            <w:tcW w:type="dxa" w:w="3561"/>
            <w:vAlign w:val="top"/>
          </w:tcPr>
          <w:p>
            <w:pPr>
              <w:spacing w:after="0" w:line="211" w:lineRule="auto"/>
            </w:pPr>
            <w:r>
              <w:rPr>
                <w:rFonts w:ascii="Times New Roman" w:hAnsi="Times New Roman"/>
                <w:sz w:val="12"/>
              </w:rPr>
              <w:t>Corrects Mansfield extraction/OCR string “Matt. 44710”.</w:t>
            </w:r>
          </w:p>
        </w:tc>
      </w:tr>
      <w:tr>
        <w:tc>
          <w:tcPr>
            <w:tcW w:type="dxa" w:w="3561"/>
            <w:vAlign w:val="top"/>
          </w:tcPr>
          <w:p>
            <w:pPr>
              <w:spacing w:after="0" w:line="211" w:lineRule="auto"/>
            </w:pPr>
            <w:r>
              <w:rPr>
                <w:rFonts w:ascii="Times New Roman" w:hAnsi="Times New Roman"/>
                <w:sz w:val="12"/>
              </w:rPr>
              <w:t>Central principle</w:t>
            </w:r>
          </w:p>
        </w:tc>
        <w:tc>
          <w:tcPr>
            <w:tcW w:type="dxa" w:w="3561"/>
            <w:vAlign w:val="top"/>
          </w:tcPr>
          <w:p>
            <w:pPr>
              <w:spacing w:after="0" w:line="211" w:lineRule="auto"/>
            </w:pPr>
            <w:r>
              <w:rPr>
                <w:rFonts w:ascii="Times New Roman" w:hAnsi="Times New Roman"/>
                <w:sz w:val="12"/>
              </w:rPr>
              <w:t>Brought out in order to be brought in</w:t>
            </w:r>
          </w:p>
        </w:tc>
        <w:tc>
          <w:tcPr>
            <w:tcW w:type="dxa" w:w="3561"/>
            <w:vAlign w:val="top"/>
          </w:tcPr>
          <w:p>
            <w:pPr>
              <w:spacing w:after="0" w:line="211" w:lineRule="auto"/>
            </w:pPr>
            <w:r>
              <w:rPr>
                <w:rFonts w:ascii="Times New Roman" w:hAnsi="Times New Roman"/>
                <w:sz w:val="12"/>
              </w:rPr>
              <w:t>Compare Deut. 6:20–23.</w:t>
            </w:r>
          </w:p>
        </w:tc>
      </w:tr>
    </w:tbl>
    <w:p>
      <w:pPr>
        <w:pStyle w:val="Heading1"/>
      </w:pPr>
      <w:r>
        <w:t>RESIDUAL UNCERTAINTIES</w:t>
      </w:r>
    </w:p>
    <w:p>
      <w:pPr/>
      <w:r>
        <w:rPr>
          <w:i w:val="0"/>
        </w:rPr>
        <w:t>The precise literary division of Moses’ speeches, the historical continuity of every ritual observance during the thirty-eight wilderness years, and the full derivational history of the Greek book-title are matters on which details can be stated in different ways. The introduction therefore distinguishes the biblical data from Mansfield’s typological and structural proposals.</w:t>
      </w:r>
    </w:p>
    <w:sectPr w:rsidR="00FC693F" w:rsidRPr="0006063C" w:rsidSect="00034616">
      <w:headerReference w:type="default" r:id="rId9"/>
      <w:footerReference w:type="default" r:id="rId10"/>
      <w:pgSz w:w="12240" w:h="15840"/>
      <w:pgMar w:top="691" w:right="778" w:bottom="691"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 INTRODUCTION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5" w:line="235" w:lineRule="auto"/>
    </w:pPr>
    <w:rPr>
      <w:rFonts w:ascii="Times New Roman" w:hAnsi="Times New Roman"/>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 w:after="8"/>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4" w:after="8"/>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