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3</w:t>
      </w:r>
    </w:p>
    <w:p>
      <w:pPr>
        <w:pStyle w:val="Subtitle"/>
      </w:pPr>
      <w:r>
        <w:t>OG OF BASHAN • SIXTY FORTIFIED CITIES • THE IRON BED • EASTERN INHERITANCE • FIGHT FOR YOUR BRETHREN • JOSHUA ENCOURAGED • MOSES’ REQUEST REFUSED</w:t>
      </w:r>
    </w:p>
    <w:p>
      <w:pPr/>
      <w:r>
        <w:rPr>
          <w:i/>
        </w:rPr>
        <w:t>H. P. Mansfield Bible notes — checked and arranged in verse-by-verse Expositor style</w:t>
      </w:r>
    </w:p>
    <w:p>
      <w:pPr/>
      <w:r>
        <w:rPr>
          <w:i w:val="0"/>
        </w:rPr>
        <w:t>Source: HPB 04-Deu01-Jud04.PDF pp. 5, 8; cross-checked with Mansfield’s Deuteronomy Expositor Chapter 3.</w:t>
      </w:r>
    </w:p>
    <w:p>
      <w:pPr>
        <w:pStyle w:val="Heading1"/>
      </w:pPr>
      <w:r>
        <w:t>CHAPTER OVERVIEW</w:t>
      </w:r>
    </w:p>
    <w:p>
      <w:pPr/>
      <w:r>
        <w:rPr>
          <w:i w:val="0"/>
        </w:rPr>
        <w:t>Deuteronomy 3 extends the Sihon victory into Bashan. Og’s fortified kingdom falls under Yahweh’s word, after which the eastern land is distributed and its tribes are reminded that possession does not release them from responsibility to help their brethren.</w:t>
      </w:r>
    </w:p>
    <w:p>
      <w:pPr/>
      <w:r>
        <w:rPr>
          <w:i w:val="0"/>
        </w:rPr>
        <w:t>The chapter then turns personally to Moses. He sees Yahweh’s greatness, pleads to cross Jordan, is refused, and must instead strengthen Joshua.</w:t>
      </w:r>
    </w:p>
    <w:p>
      <w:pPr>
        <w:pStyle w:val="Heading1"/>
      </w:pPr>
      <w:r>
        <w:t>OG DEFEATED — DEUTERONOMY 3:1–7</w:t>
      </w:r>
    </w:p>
    <w:p>
      <w:pPr>
        <w:pStyle w:val="Heading2"/>
      </w:pPr>
      <w:r>
        <w:t>Deuteronomy 3:1–2 — fear not Og</w:t>
      </w:r>
    </w:p>
    <w:p>
      <w:pPr/>
      <w:r>
        <w:rPr>
          <w:i w:val="0"/>
        </w:rPr>
        <w:t>Og king of Bashan comes to battle at Edrei. Yahweh tells Moses not to fear because Og, his people and land will be delivered as Sihon was.</w:t>
      </w:r>
    </w:p>
    <w:p>
      <w:pPr/>
      <w:r>
        <w:rPr>
          <w:i w:val="0"/>
        </w:rPr>
        <w:t>The text does not say Moses first offered Og terms of peace. Mansfield’s claim that Og had already spurned such an offer is unsupported.</w:t>
      </w:r>
    </w:p>
    <w:p>
      <w:pPr>
        <w:pStyle w:val="Heading2"/>
      </w:pPr>
      <w:r>
        <w:t>Deuteronomy 3:3–5 — complete military and fortified-city victory</w:t>
      </w:r>
    </w:p>
    <w:p>
      <w:pPr/>
      <w:r>
        <w:rPr>
          <w:i w:val="0"/>
        </w:rPr>
        <w:t>Og’s force is defeated and Israel takes sixty fortified cities of the Argob region, besides many unwalled towns.</w:t>
      </w:r>
    </w:p>
    <w:p>
      <w:pPr/>
      <w:r>
        <w:rPr>
          <w:i w:val="0"/>
        </w:rPr>
        <w:t>High walls, gates and bars answer the earlier fear of fortified Canaanite cities: strength that intimidated unbelief cannot frustrate Yahweh.</w:t>
      </w:r>
    </w:p>
    <w:p>
      <w:pPr>
        <w:pStyle w:val="Heading2"/>
      </w:pPr>
      <w:r>
        <w:t>Deuteronomy 3:6–7 — cherem and spoil</w:t>
      </w:r>
    </w:p>
    <w:p>
      <w:pPr/>
      <w:r>
        <w:rPr>
          <w:i w:val="0"/>
        </w:rPr>
        <w:t>The populations are placed under cherem as with Sihon; livestock and city spoil are taken.</w:t>
      </w:r>
    </w:p>
    <w:p>
      <w:pPr/>
      <w:r>
        <w:rPr>
          <w:i w:val="0"/>
        </w:rPr>
        <w:t>This severe ancient conquest judgment is reported as Scripture gives it and is not universalised as a model for later believers.</w:t>
      </w:r>
    </w:p>
    <w:p>
      <w:pPr>
        <w:pStyle w:val="Heading1"/>
      </w:pPr>
      <w:r>
        <w:t>THE LAND AND OG’S IRON BED — DEUTERONOMY 3:8–11</w:t>
      </w:r>
    </w:p>
    <w:p>
      <w:pPr>
        <w:pStyle w:val="Heading2"/>
      </w:pPr>
      <w:r>
        <w:t>Deuteronomy 3:8–10 — Arnon to Hermon</w:t>
      </w:r>
    </w:p>
    <w:p>
      <w:pPr/>
      <w:r>
        <w:rPr>
          <w:i w:val="0"/>
        </w:rPr>
        <w:t>Israel now controls the Amorite kingdoms east of Jordan from the Arnon to Hermon, including Gilead and Bashan. Hermon’s regional names Sirion and Senir are preserved.</w:t>
      </w:r>
    </w:p>
    <w:p>
      <w:pPr>
        <w:pStyle w:val="Heading2"/>
      </w:pPr>
      <w:r>
        <w:t>Deuteronomy 3:11 — Og and the Rephaim</w:t>
      </w:r>
    </w:p>
    <w:p>
      <w:pPr/>
      <w:r>
        <w:rPr>
          <w:i w:val="0"/>
        </w:rPr>
        <w:t>Og is said to remain from the remnant of the Rephaim. His `eres`—bed/couch, perhaps a funerary couch in some interpretations—is described as iron and located at Rabbah of Ammon.</w:t>
      </w:r>
    </w:p>
    <w:p>
      <w:pPr/>
      <w:r>
        <w:rPr>
          <w:i w:val="0"/>
        </w:rPr>
        <w:t>The Hebrew explicitly says barzel, iron. Mansfield’s attempt to reinterpret the object as black basalt containing iron is speculative and should not replace the text.</w:t>
      </w:r>
    </w:p>
    <w:p>
      <w:pPr>
        <w:pStyle w:val="Heading2"/>
      </w:pPr>
      <w:r>
        <w:t>Deuteronomy 3:11 — nine by four cubits</w:t>
      </w:r>
    </w:p>
    <w:p>
      <w:pPr/>
      <w:r>
        <w:rPr>
          <w:i w:val="0"/>
        </w:rPr>
        <w:t>The bed/couch is nine cubits long and four cubits wide “after the cubit of a man.” The exact modern length depends on the cubit assumed, and bed size does not necessarily equal body height.</w:t>
      </w:r>
    </w:p>
    <w:p>
      <w:pPr/>
      <w:r>
        <w:rPr>
          <w:i w:val="0"/>
        </w:rPr>
        <w:t>The verse demonstrates formidable scale without permitting a precise reconstruction of Og’s stature.</w:t>
      </w:r>
    </w:p>
    <w:p>
      <w:pPr>
        <w:pStyle w:val="Heading1"/>
      </w:pPr>
      <w:r>
        <w:t>EASTERN LAND DISTRIBUTED — DEUTERONOMY 3:12–17</w:t>
      </w:r>
    </w:p>
    <w:p>
      <w:pPr>
        <w:pStyle w:val="Heading2"/>
      </w:pPr>
      <w:r>
        <w:t>Deuteronomy 3:12–13 — Reuben, Gad and half Manasseh</w:t>
      </w:r>
    </w:p>
    <w:p>
      <w:pPr/>
      <w:r>
        <w:rPr>
          <w:i w:val="0"/>
        </w:rPr>
        <w:t>Conquered territory is apportioned to Reuben, Gad and half-Manasseh, corresponding with Numbers 32.</w:t>
      </w:r>
    </w:p>
    <w:p>
      <w:pPr>
        <w:pStyle w:val="Heading2"/>
      </w:pPr>
      <w:r>
        <w:t>Deuteronomy 3:14 — Jair’s Havoth-jair</w:t>
      </w:r>
    </w:p>
    <w:p>
      <w:pPr/>
      <w:r>
        <w:rPr>
          <w:i w:val="0"/>
        </w:rPr>
        <w:t>Jair takes the Argob region and names settlements after himself. KJV “unto this day” marks the name’s persistence at Moses’ speaking/writing horizon; it need not imply a remote later editor.</w:t>
      </w:r>
    </w:p>
    <w:p>
      <w:pPr>
        <w:pStyle w:val="Heading2"/>
      </w:pPr>
      <w:r>
        <w:t>Deuteronomy 3:15–17 — Machir, Gilead and boundaries</w:t>
      </w:r>
    </w:p>
    <w:p>
      <w:pPr/>
      <w:r>
        <w:rPr>
          <w:i w:val="0"/>
        </w:rPr>
        <w:t>Machir receives Gilead; Reuben and Gad receive territory extending toward the Jordan/Arabah and the Sea of Chinnereth to the Salt Sea.</w:t>
      </w:r>
    </w:p>
    <w:p>
      <w:pPr>
        <w:pStyle w:val="Heading1"/>
      </w:pPr>
      <w:r>
        <w:t>THE EASTERN TRIBES MUST FIGHT — DEUTERONOMY 3:18–20</w:t>
      </w:r>
    </w:p>
    <w:p>
      <w:pPr>
        <w:pStyle w:val="Heading2"/>
      </w:pPr>
      <w:r>
        <w:t>Deuteronomy 3:18 — armed men cross</w:t>
      </w:r>
    </w:p>
    <w:p>
      <w:pPr/>
      <w:r>
        <w:rPr>
          <w:i w:val="0"/>
        </w:rPr>
        <w:t>Moses requires the able armed men of the eastern tribes to cross before their brethren. Wives, children and livestock may remain in the cities.</w:t>
      </w:r>
    </w:p>
    <w:p>
      <w:pPr/>
      <w:r>
        <w:rPr>
          <w:i w:val="0"/>
        </w:rPr>
        <w:t>Joshua 4:12–13 later numbers about 40,000 eastern warriors crossing. The obligation was real, while not every census-age male necessarily left the settlements.</w:t>
      </w:r>
    </w:p>
    <w:p>
      <w:pPr>
        <w:pStyle w:val="Heading2"/>
      </w:pPr>
      <w:r>
        <w:t>Deuteronomy 3:20 — until Yahweh gives rest</w:t>
      </w:r>
    </w:p>
    <w:p>
      <w:pPr/>
      <w:r>
        <w:rPr>
          <w:i w:val="0"/>
        </w:rPr>
        <w:t>The eastern fighters may return only after the western tribes receive rest and possess their inheritance.</w:t>
      </w:r>
    </w:p>
    <w:p>
      <w:pPr/>
      <w:r>
        <w:rPr>
          <w:i w:val="0"/>
        </w:rPr>
        <w:t>Personal inheritance is inseparable from responsibility toward brethren.</w:t>
      </w:r>
    </w:p>
    <w:p>
      <w:pPr>
        <w:pStyle w:val="Heading1"/>
      </w:pPr>
      <w:r>
        <w:t>JOSHUA ENCOURAGED — DEUTERONOMY 3:21–22</w:t>
      </w:r>
    </w:p>
    <w:p>
      <w:pPr>
        <w:pStyle w:val="Heading2"/>
      </w:pPr>
      <w:r>
        <w:t>Deuteronomy 3:21 — “thine eyes have seen”</w:t>
      </w:r>
    </w:p>
    <w:p>
      <w:pPr/>
      <w:r>
        <w:rPr>
          <w:i w:val="0"/>
        </w:rPr>
        <w:t>Joshua is told to interpret Sihon and Og as training: what his eyes have seen Yahweh do here, Yahweh will do to kingdoms beyond Jordan.</w:t>
      </w:r>
    </w:p>
    <w:p>
      <w:pPr>
        <w:pStyle w:val="Heading2"/>
      </w:pPr>
      <w:r>
        <w:t>Deuteronomy 3:22 — Yahweh fights for you</w:t>
      </w:r>
    </w:p>
    <w:p>
      <w:pPr/>
      <w:r>
        <w:rPr>
          <w:i w:val="0"/>
        </w:rPr>
        <w:t>“Ye shall not fear them: for Yahweh your God he shall fight for you.” The lesson is confidence grounded in prior Divine action.</w:t>
      </w:r>
    </w:p>
    <w:p>
      <w:pPr>
        <w:pStyle w:val="Heading1"/>
      </w:pPr>
      <w:r>
        <w:t>MOSES’ REQUEST REFUSED — DEUTERONOMY 3:23–29</w:t>
      </w:r>
    </w:p>
    <w:p>
      <w:pPr>
        <w:pStyle w:val="Heading2"/>
      </w:pPr>
      <w:r>
        <w:t>Deuteronomy 3:23–25 — Moses asks to cross</w:t>
      </w:r>
    </w:p>
    <w:p>
      <w:pPr/>
      <w:r>
        <w:rPr>
          <w:i w:val="0"/>
        </w:rPr>
        <w:t>Moses appeals to Yahweh’s greatness and asks to see the good land beyond Jordan and the goodly mountain/Lebanon.</w:t>
      </w:r>
    </w:p>
    <w:p>
      <w:pPr>
        <w:pStyle w:val="Heading2"/>
      </w:pPr>
      <w:r>
        <w:t>Deuteronomy 3:26 — “Let it suffice thee”</w:t>
      </w:r>
    </w:p>
    <w:p>
      <w:pPr/>
      <w:r>
        <w:rPr>
          <w:i w:val="0"/>
        </w:rPr>
        <w:t>Yahweh refuses: `rav-lakh`, “enough for you / let it suffice,” and tells Moses not to speak further about the matter.</w:t>
      </w:r>
    </w:p>
    <w:p>
      <w:pPr/>
      <w:r>
        <w:rPr>
          <w:i w:val="0"/>
        </w:rPr>
        <w:t>Moses says Yahweh was wroth “for your sakes,” again placing his failure within the context of Israel’s provocation; Numbers 20:12 remains the direct explanation of his own accountable failure.</w:t>
      </w:r>
    </w:p>
    <w:p>
      <w:pPr>
        <w:pStyle w:val="Heading2"/>
      </w:pPr>
      <w:r>
        <w:t>Deuteronomy 3:27 — Pisgah view</w:t>
      </w:r>
    </w:p>
    <w:p>
      <w:pPr/>
      <w:r>
        <w:rPr>
          <w:i w:val="0"/>
        </w:rPr>
        <w:t>Moses may ascend the top of Pisgah and look west, north, south and east, but he will not cross Jordan.</w:t>
      </w:r>
    </w:p>
    <w:p>
      <w:pPr/>
      <w:r>
        <w:rPr>
          <w:i w:val="0"/>
        </w:rPr>
        <w:t>The promise to see the land is mercy within the irreversible sentence.</w:t>
      </w:r>
    </w:p>
    <w:p>
      <w:pPr>
        <w:pStyle w:val="Heading2"/>
      </w:pPr>
      <w:r>
        <w:t>Deuteronomy 3:28–29 — strengthen Joshua</w:t>
      </w:r>
    </w:p>
    <w:p>
      <w:pPr/>
      <w:r>
        <w:rPr>
          <w:i w:val="0"/>
        </w:rPr>
        <w:t>Moses must charge, encourage and strengthen Joshua, who will cross and cause Israel to inherit. The nation remains encamped opposite Beth-peor.</w:t>
      </w:r>
    </w:p>
    <w:p>
      <w:pPr>
        <w:pStyle w:val="Heading1"/>
      </w:pPr>
      <w:r>
        <w:t>PRINCIPAL THEMES</w:t>
      </w:r>
    </w:p>
    <w:p>
      <w:pPr>
        <w:ind w:left="259" w:hanging="202"/>
      </w:pPr>
      <w:r>
        <w:rPr>
          <w:b/>
        </w:rPr>
        <w:t xml:space="preserve">• </w:t>
      </w:r>
      <w:r>
        <w:t>Og’s defeat answers the fear of fortified cities.</w:t>
      </w:r>
    </w:p>
    <w:p>
      <w:pPr>
        <w:ind w:left="259" w:hanging="202"/>
      </w:pPr>
      <w:r>
        <w:rPr>
          <w:b/>
        </w:rPr>
        <w:t xml:space="preserve">• </w:t>
      </w:r>
      <w:r>
        <w:t>No recorded peace offer was made to Og.</w:t>
      </w:r>
    </w:p>
    <w:p>
      <w:pPr>
        <w:ind w:left="259" w:hanging="202"/>
      </w:pPr>
      <w:r>
        <w:rPr>
          <w:b/>
        </w:rPr>
        <w:t xml:space="preserve">• </w:t>
      </w:r>
      <w:r>
        <w:t>`Rephaim` is an ancient people designation; the text does not require speculative links to antediluvian beings.</w:t>
      </w:r>
    </w:p>
    <w:p>
      <w:pPr>
        <w:ind w:left="259" w:hanging="202"/>
      </w:pPr>
      <w:r>
        <w:rPr>
          <w:b/>
        </w:rPr>
        <w:t xml:space="preserve">• </w:t>
      </w:r>
      <w:r>
        <w:t>Og’s object is explicitly described as iron; basalt reinterpretation is not justified.</w:t>
      </w:r>
    </w:p>
    <w:p>
      <w:pPr>
        <w:ind w:left="259" w:hanging="202"/>
      </w:pPr>
      <w:r>
        <w:rPr>
          <w:b/>
        </w:rPr>
        <w:t xml:space="preserve">• </w:t>
      </w:r>
      <w:r>
        <w:t>Nine-by-four cubit size does not provide a precise body-height measurement.</w:t>
      </w:r>
    </w:p>
    <w:p>
      <w:pPr>
        <w:ind w:left="259" w:hanging="202"/>
      </w:pPr>
      <w:r>
        <w:rPr>
          <w:b/>
        </w:rPr>
        <w:t xml:space="preserve">• </w:t>
      </w:r>
      <w:r>
        <w:t>Eastern inheritance does not release the tribes from fighting for their brethren.</w:t>
      </w:r>
    </w:p>
    <w:p>
      <w:pPr>
        <w:ind w:left="259" w:hanging="202"/>
      </w:pPr>
      <w:r>
        <w:rPr>
          <w:b/>
        </w:rPr>
        <w:t xml:space="preserve">• </w:t>
      </w:r>
      <w:r>
        <w:t>Joshua’s courage is grounded in witnessed Divine victory.</w:t>
      </w:r>
    </w:p>
    <w:p>
      <w:pPr>
        <w:ind w:left="259" w:hanging="202"/>
      </w:pPr>
      <w:r>
        <w:rPr>
          <w:b/>
        </w:rPr>
        <w:t xml:space="preserve">• </w:t>
      </w:r>
      <w:r>
        <w:t>Moses’ own exclusion remains an accountability lesson.</w:t>
      </w:r>
    </w:p>
    <w:p>
      <w:pPr>
        <w:ind w:left="259" w:hanging="202"/>
      </w:pPr>
      <w:r>
        <w:rPr>
          <w:b/>
        </w:rPr>
        <w:t xml:space="preserve">• </w:t>
      </w:r>
      <w:r>
        <w:t>`rav-lakh` ends Moses’ request while Pisgah grants a view of the inheritance.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6" w:lineRule="auto"/>
            </w:pPr>
            <w:r>
              <w:rPr>
                <w:rFonts w:ascii="Times New Roman" w:hAnsi="Times New Roman"/>
                <w:sz w:val="13"/>
              </w:rPr>
              <w:t>Deut. 3:1</w:t>
            </w:r>
          </w:p>
        </w:tc>
        <w:tc>
          <w:tcPr>
            <w:tcW w:type="dxa" w:w="3561"/>
            <w:vAlign w:val="top"/>
          </w:tcPr>
          <w:p>
            <w:pPr>
              <w:spacing w:after="0" w:line="226" w:lineRule="auto"/>
            </w:pPr>
            <w:r>
              <w:rPr>
                <w:rFonts w:ascii="Times New Roman" w:hAnsi="Times New Roman"/>
                <w:sz w:val="13"/>
              </w:rPr>
              <w:t>Edrei</w:t>
            </w:r>
          </w:p>
        </w:tc>
        <w:tc>
          <w:tcPr>
            <w:tcW w:type="dxa" w:w="3561"/>
            <w:vAlign w:val="top"/>
          </w:tcPr>
          <w:p>
            <w:pPr>
              <w:spacing w:after="0" w:line="226" w:lineRule="auto"/>
            </w:pPr>
            <w:r>
              <w:rPr>
                <w:rFonts w:ascii="Times New Roman" w:hAnsi="Times New Roman"/>
                <w:sz w:val="13"/>
              </w:rPr>
              <w:t>Battle location against Og.</w:t>
            </w:r>
          </w:p>
        </w:tc>
      </w:tr>
      <w:tr>
        <w:tc>
          <w:tcPr>
            <w:tcW w:type="dxa" w:w="3561"/>
            <w:vAlign w:val="top"/>
          </w:tcPr>
          <w:p>
            <w:pPr>
              <w:spacing w:after="0" w:line="226" w:lineRule="auto"/>
            </w:pPr>
            <w:r>
              <w:rPr>
                <w:rFonts w:ascii="Times New Roman" w:hAnsi="Times New Roman"/>
                <w:sz w:val="13"/>
              </w:rPr>
              <w:t>Deut. 3:2</w:t>
            </w:r>
          </w:p>
        </w:tc>
        <w:tc>
          <w:tcPr>
            <w:tcW w:type="dxa" w:w="3561"/>
            <w:vAlign w:val="top"/>
          </w:tcPr>
          <w:p>
            <w:pPr>
              <w:spacing w:after="0" w:line="226" w:lineRule="auto"/>
            </w:pPr>
            <w:r>
              <w:rPr>
                <w:rFonts w:ascii="Times New Roman" w:hAnsi="Times New Roman"/>
                <w:sz w:val="13"/>
              </w:rPr>
              <w:t>fear him not</w:t>
            </w:r>
          </w:p>
        </w:tc>
        <w:tc>
          <w:tcPr>
            <w:tcW w:type="dxa" w:w="3561"/>
            <w:vAlign w:val="top"/>
          </w:tcPr>
          <w:p>
            <w:pPr>
              <w:spacing w:after="0" w:line="226" w:lineRule="auto"/>
            </w:pPr>
            <w:r>
              <w:rPr>
                <w:rFonts w:ascii="Times New Roman" w:hAnsi="Times New Roman"/>
                <w:sz w:val="13"/>
              </w:rPr>
              <w:t>Yahweh promises victory.</w:t>
            </w:r>
          </w:p>
        </w:tc>
      </w:tr>
      <w:tr>
        <w:tc>
          <w:tcPr>
            <w:tcW w:type="dxa" w:w="3561"/>
            <w:vAlign w:val="top"/>
          </w:tcPr>
          <w:p>
            <w:pPr>
              <w:spacing w:after="0" w:line="226" w:lineRule="auto"/>
            </w:pPr>
            <w:r>
              <w:rPr>
                <w:rFonts w:ascii="Times New Roman" w:hAnsi="Times New Roman"/>
                <w:sz w:val="13"/>
              </w:rPr>
              <w:t>Peace offer to Og</w:t>
            </w:r>
          </w:p>
        </w:tc>
        <w:tc>
          <w:tcPr>
            <w:tcW w:type="dxa" w:w="3561"/>
            <w:vAlign w:val="top"/>
          </w:tcPr>
          <w:p>
            <w:pPr>
              <w:spacing w:after="0" w:line="226" w:lineRule="auto"/>
            </w:pPr>
            <w:r>
              <w:rPr>
                <w:rFonts w:ascii="Times New Roman" w:hAnsi="Times New Roman"/>
                <w:sz w:val="13"/>
              </w:rPr>
              <w:t>not recorded</w:t>
            </w:r>
          </w:p>
        </w:tc>
        <w:tc>
          <w:tcPr>
            <w:tcW w:type="dxa" w:w="3561"/>
            <w:vAlign w:val="top"/>
          </w:tcPr>
          <w:p>
            <w:pPr>
              <w:spacing w:after="0" w:line="226" w:lineRule="auto"/>
            </w:pPr>
            <w:r>
              <w:rPr>
                <w:rFonts w:ascii="Times New Roman" w:hAnsi="Times New Roman"/>
                <w:sz w:val="13"/>
              </w:rPr>
              <w:t>Mansfield assertion removed.</w:t>
            </w:r>
          </w:p>
        </w:tc>
      </w:tr>
      <w:tr>
        <w:tc>
          <w:tcPr>
            <w:tcW w:type="dxa" w:w="3561"/>
            <w:vAlign w:val="top"/>
          </w:tcPr>
          <w:p>
            <w:pPr>
              <w:spacing w:after="0" w:line="226" w:lineRule="auto"/>
            </w:pPr>
            <w:r>
              <w:rPr>
                <w:rFonts w:ascii="Times New Roman" w:hAnsi="Times New Roman"/>
                <w:sz w:val="13"/>
              </w:rPr>
              <w:t>Deut. 3:4–5</w:t>
            </w:r>
          </w:p>
        </w:tc>
        <w:tc>
          <w:tcPr>
            <w:tcW w:type="dxa" w:w="3561"/>
            <w:vAlign w:val="top"/>
          </w:tcPr>
          <w:p>
            <w:pPr>
              <w:spacing w:after="0" w:line="226" w:lineRule="auto"/>
            </w:pPr>
            <w:r>
              <w:rPr>
                <w:rFonts w:ascii="Times New Roman" w:hAnsi="Times New Roman"/>
                <w:sz w:val="13"/>
              </w:rPr>
              <w:t>60 fortified cities</w:t>
            </w:r>
          </w:p>
        </w:tc>
        <w:tc>
          <w:tcPr>
            <w:tcW w:type="dxa" w:w="3561"/>
            <w:vAlign w:val="top"/>
          </w:tcPr>
          <w:p>
            <w:pPr>
              <w:spacing w:after="0" w:line="226" w:lineRule="auto"/>
            </w:pPr>
            <w:r>
              <w:rPr>
                <w:rFonts w:ascii="Times New Roman" w:hAnsi="Times New Roman"/>
                <w:sz w:val="13"/>
              </w:rPr>
              <w:t>High walls, gates, bars.</w:t>
            </w:r>
          </w:p>
        </w:tc>
      </w:tr>
      <w:tr>
        <w:tc>
          <w:tcPr>
            <w:tcW w:type="dxa" w:w="3561"/>
            <w:vAlign w:val="top"/>
          </w:tcPr>
          <w:p>
            <w:pPr>
              <w:spacing w:after="0" w:line="226" w:lineRule="auto"/>
            </w:pPr>
            <w:r>
              <w:rPr>
                <w:rFonts w:ascii="Times New Roman" w:hAnsi="Times New Roman"/>
                <w:sz w:val="13"/>
              </w:rPr>
              <w:t>Deut. 3:6</w:t>
            </w:r>
          </w:p>
        </w:tc>
        <w:tc>
          <w:tcPr>
            <w:tcW w:type="dxa" w:w="3561"/>
            <w:vAlign w:val="top"/>
          </w:tcPr>
          <w:p>
            <w:pPr>
              <w:spacing w:after="0" w:line="226" w:lineRule="auto"/>
            </w:pPr>
            <w:r>
              <w:rPr>
                <w:rFonts w:ascii="Times New Roman" w:hAnsi="Times New Roman"/>
                <w:sz w:val="13"/>
              </w:rPr>
              <w:t>cherem</w:t>
            </w:r>
          </w:p>
        </w:tc>
        <w:tc>
          <w:tcPr>
            <w:tcW w:type="dxa" w:w="3561"/>
            <w:vAlign w:val="top"/>
          </w:tcPr>
          <w:p>
            <w:pPr>
              <w:spacing w:after="0" w:line="226" w:lineRule="auto"/>
            </w:pPr>
            <w:r>
              <w:rPr>
                <w:rFonts w:ascii="Times New Roman" w:hAnsi="Times New Roman"/>
                <w:sz w:val="13"/>
              </w:rPr>
              <w:t>Specific conquest judgment.</w:t>
            </w:r>
          </w:p>
        </w:tc>
      </w:tr>
      <w:tr>
        <w:tc>
          <w:tcPr>
            <w:tcW w:type="dxa" w:w="3561"/>
            <w:vAlign w:val="top"/>
          </w:tcPr>
          <w:p>
            <w:pPr>
              <w:spacing w:after="0" w:line="226" w:lineRule="auto"/>
            </w:pPr>
            <w:r>
              <w:rPr>
                <w:rFonts w:ascii="Times New Roman" w:hAnsi="Times New Roman"/>
                <w:sz w:val="13"/>
              </w:rPr>
              <w:t>Deut. 3:8–9</w:t>
            </w:r>
          </w:p>
        </w:tc>
        <w:tc>
          <w:tcPr>
            <w:tcW w:type="dxa" w:w="3561"/>
            <w:vAlign w:val="top"/>
          </w:tcPr>
          <w:p>
            <w:pPr>
              <w:spacing w:after="0" w:line="226" w:lineRule="auto"/>
            </w:pPr>
            <w:r>
              <w:rPr>
                <w:rFonts w:ascii="Times New Roman" w:hAnsi="Times New Roman"/>
                <w:sz w:val="13"/>
              </w:rPr>
              <w:t>Hermon / Sirion / Senir</w:t>
            </w:r>
          </w:p>
        </w:tc>
        <w:tc>
          <w:tcPr>
            <w:tcW w:type="dxa" w:w="3561"/>
            <w:vAlign w:val="top"/>
          </w:tcPr>
          <w:p>
            <w:pPr>
              <w:spacing w:after="0" w:line="226" w:lineRule="auto"/>
            </w:pPr>
            <w:r>
              <w:rPr>
                <w:rFonts w:ascii="Times New Roman" w:hAnsi="Times New Roman"/>
                <w:sz w:val="13"/>
              </w:rPr>
              <w:t>Regional names preserved.</w:t>
            </w:r>
          </w:p>
        </w:tc>
      </w:tr>
      <w:tr>
        <w:tc>
          <w:tcPr>
            <w:tcW w:type="dxa" w:w="3561"/>
            <w:vAlign w:val="top"/>
          </w:tcPr>
          <w:p>
            <w:pPr>
              <w:spacing w:after="0" w:line="226" w:lineRule="auto"/>
            </w:pPr>
            <w:r>
              <w:rPr>
                <w:rFonts w:ascii="Times New Roman" w:hAnsi="Times New Roman"/>
                <w:sz w:val="13"/>
              </w:rPr>
              <w:t>Deut. 3:11</w:t>
            </w:r>
          </w:p>
        </w:tc>
        <w:tc>
          <w:tcPr>
            <w:tcW w:type="dxa" w:w="3561"/>
            <w:vAlign w:val="top"/>
          </w:tcPr>
          <w:p>
            <w:pPr>
              <w:spacing w:after="0" w:line="226" w:lineRule="auto"/>
            </w:pPr>
            <w:r>
              <w:rPr>
                <w:rFonts w:ascii="Times New Roman" w:hAnsi="Times New Roman"/>
                <w:sz w:val="13"/>
              </w:rPr>
              <w:t>Rephaim</w:t>
            </w:r>
          </w:p>
        </w:tc>
        <w:tc>
          <w:tcPr>
            <w:tcW w:type="dxa" w:w="3561"/>
            <w:vAlign w:val="top"/>
          </w:tcPr>
          <w:p>
            <w:pPr>
              <w:spacing w:after="0" w:line="226" w:lineRule="auto"/>
            </w:pPr>
            <w:r>
              <w:rPr>
                <w:rFonts w:ascii="Times New Roman" w:hAnsi="Times New Roman"/>
                <w:sz w:val="13"/>
              </w:rPr>
              <w:t>Og from remnant of this ancient people.</w:t>
            </w:r>
          </w:p>
        </w:tc>
      </w:tr>
      <w:tr>
        <w:tc>
          <w:tcPr>
            <w:tcW w:type="dxa" w:w="3561"/>
            <w:vAlign w:val="top"/>
          </w:tcPr>
          <w:p>
            <w:pPr>
              <w:spacing w:after="0" w:line="226" w:lineRule="auto"/>
            </w:pPr>
            <w:r>
              <w:rPr>
                <w:rFonts w:ascii="Times New Roman" w:hAnsi="Times New Roman"/>
                <w:sz w:val="13"/>
              </w:rPr>
              <w:t>Deut. 3:11</w:t>
            </w:r>
          </w:p>
        </w:tc>
        <w:tc>
          <w:tcPr>
            <w:tcW w:type="dxa" w:w="3561"/>
            <w:vAlign w:val="top"/>
          </w:tcPr>
          <w:p>
            <w:pPr>
              <w:spacing w:after="0" w:line="226" w:lineRule="auto"/>
            </w:pPr>
            <w:r>
              <w:rPr>
                <w:rFonts w:ascii="Times New Roman" w:hAnsi="Times New Roman"/>
                <w:sz w:val="13"/>
              </w:rPr>
              <w:t>eres</w:t>
            </w:r>
          </w:p>
        </w:tc>
        <w:tc>
          <w:tcPr>
            <w:tcW w:type="dxa" w:w="3561"/>
            <w:vAlign w:val="top"/>
          </w:tcPr>
          <w:p>
            <w:pPr>
              <w:spacing w:after="0" w:line="226" w:lineRule="auto"/>
            </w:pPr>
            <w:r>
              <w:rPr>
                <w:rFonts w:ascii="Times New Roman" w:hAnsi="Times New Roman"/>
                <w:sz w:val="13"/>
              </w:rPr>
              <w:t>Bed/couch; funerary-couch proposal uncertain.</w:t>
            </w:r>
          </w:p>
        </w:tc>
      </w:tr>
      <w:tr>
        <w:tc>
          <w:tcPr>
            <w:tcW w:type="dxa" w:w="3561"/>
            <w:vAlign w:val="top"/>
          </w:tcPr>
          <w:p>
            <w:pPr>
              <w:spacing w:after="0" w:line="226" w:lineRule="auto"/>
            </w:pPr>
            <w:r>
              <w:rPr>
                <w:rFonts w:ascii="Times New Roman" w:hAnsi="Times New Roman"/>
                <w:sz w:val="13"/>
              </w:rPr>
              <w:t>Deut. 3:11</w:t>
            </w:r>
          </w:p>
        </w:tc>
        <w:tc>
          <w:tcPr>
            <w:tcW w:type="dxa" w:w="3561"/>
            <w:vAlign w:val="top"/>
          </w:tcPr>
          <w:p>
            <w:pPr>
              <w:spacing w:after="0" w:line="226" w:lineRule="auto"/>
            </w:pPr>
            <w:r>
              <w:rPr>
                <w:rFonts w:ascii="Times New Roman" w:hAnsi="Times New Roman"/>
                <w:sz w:val="13"/>
              </w:rPr>
              <w:t>barzel</w:t>
            </w:r>
          </w:p>
        </w:tc>
        <w:tc>
          <w:tcPr>
            <w:tcW w:type="dxa" w:w="3561"/>
            <w:vAlign w:val="top"/>
          </w:tcPr>
          <w:p>
            <w:pPr>
              <w:spacing w:after="0" w:line="226" w:lineRule="auto"/>
            </w:pPr>
            <w:r>
              <w:rPr>
                <w:rFonts w:ascii="Times New Roman" w:hAnsi="Times New Roman"/>
                <w:sz w:val="13"/>
              </w:rPr>
              <w:t>Iron; not “probably basalt.”</w:t>
            </w:r>
          </w:p>
        </w:tc>
      </w:tr>
      <w:tr>
        <w:tc>
          <w:tcPr>
            <w:tcW w:type="dxa" w:w="3561"/>
            <w:vAlign w:val="top"/>
          </w:tcPr>
          <w:p>
            <w:pPr>
              <w:spacing w:after="0" w:line="226" w:lineRule="auto"/>
            </w:pPr>
            <w:r>
              <w:rPr>
                <w:rFonts w:ascii="Times New Roman" w:hAnsi="Times New Roman"/>
                <w:sz w:val="13"/>
              </w:rPr>
              <w:t>Deut. 3:11</w:t>
            </w:r>
          </w:p>
        </w:tc>
        <w:tc>
          <w:tcPr>
            <w:tcW w:type="dxa" w:w="3561"/>
            <w:vAlign w:val="top"/>
          </w:tcPr>
          <w:p>
            <w:pPr>
              <w:spacing w:after="0" w:line="226" w:lineRule="auto"/>
            </w:pPr>
            <w:r>
              <w:rPr>
                <w:rFonts w:ascii="Times New Roman" w:hAnsi="Times New Roman"/>
                <w:sz w:val="13"/>
              </w:rPr>
              <w:t>9 × 4 cubits</w:t>
            </w:r>
          </w:p>
        </w:tc>
        <w:tc>
          <w:tcPr>
            <w:tcW w:type="dxa" w:w="3561"/>
            <w:vAlign w:val="top"/>
          </w:tcPr>
          <w:p>
            <w:pPr>
              <w:spacing w:after="0" w:line="226" w:lineRule="auto"/>
            </w:pPr>
            <w:r>
              <w:rPr>
                <w:rFonts w:ascii="Times New Roman" w:hAnsi="Times New Roman"/>
                <w:sz w:val="13"/>
              </w:rPr>
              <w:t>Large object; exact metric/height inference uncertain.</w:t>
            </w:r>
          </w:p>
        </w:tc>
      </w:tr>
      <w:tr>
        <w:tc>
          <w:tcPr>
            <w:tcW w:type="dxa" w:w="3561"/>
            <w:vAlign w:val="top"/>
          </w:tcPr>
          <w:p>
            <w:pPr>
              <w:spacing w:after="0" w:line="226" w:lineRule="auto"/>
            </w:pPr>
            <w:r>
              <w:rPr>
                <w:rFonts w:ascii="Times New Roman" w:hAnsi="Times New Roman"/>
                <w:sz w:val="13"/>
              </w:rPr>
              <w:t>Deut. 3:12–17</w:t>
            </w:r>
          </w:p>
        </w:tc>
        <w:tc>
          <w:tcPr>
            <w:tcW w:type="dxa" w:w="3561"/>
            <w:vAlign w:val="top"/>
          </w:tcPr>
          <w:p>
            <w:pPr>
              <w:spacing w:after="0" w:line="226" w:lineRule="auto"/>
            </w:pPr>
            <w:r>
              <w:rPr>
                <w:rFonts w:ascii="Times New Roman" w:hAnsi="Times New Roman"/>
                <w:sz w:val="13"/>
              </w:rPr>
              <w:t>eastern allotments</w:t>
            </w:r>
          </w:p>
        </w:tc>
        <w:tc>
          <w:tcPr>
            <w:tcW w:type="dxa" w:w="3561"/>
            <w:vAlign w:val="top"/>
          </w:tcPr>
          <w:p>
            <w:pPr>
              <w:spacing w:after="0" w:line="226" w:lineRule="auto"/>
            </w:pPr>
            <w:r>
              <w:rPr>
                <w:rFonts w:ascii="Times New Roman" w:hAnsi="Times New Roman"/>
                <w:sz w:val="13"/>
              </w:rPr>
              <w:t>Reuben, Gad, half-Manasseh.</w:t>
            </w:r>
          </w:p>
        </w:tc>
      </w:tr>
      <w:tr>
        <w:tc>
          <w:tcPr>
            <w:tcW w:type="dxa" w:w="3561"/>
            <w:vAlign w:val="top"/>
          </w:tcPr>
          <w:p>
            <w:pPr>
              <w:spacing w:after="0" w:line="226" w:lineRule="auto"/>
            </w:pPr>
            <w:r>
              <w:rPr>
                <w:rFonts w:ascii="Times New Roman" w:hAnsi="Times New Roman"/>
                <w:sz w:val="13"/>
              </w:rPr>
              <w:t>Josh. 4:12–13</w:t>
            </w:r>
          </w:p>
        </w:tc>
        <w:tc>
          <w:tcPr>
            <w:tcW w:type="dxa" w:w="3561"/>
            <w:vAlign w:val="top"/>
          </w:tcPr>
          <w:p>
            <w:pPr>
              <w:spacing w:after="0" w:line="226" w:lineRule="auto"/>
            </w:pPr>
            <w:r>
              <w:rPr>
                <w:rFonts w:ascii="Times New Roman" w:hAnsi="Times New Roman"/>
                <w:sz w:val="13"/>
              </w:rPr>
              <w:t>about 40,000 eastern warriors</w:t>
            </w:r>
          </w:p>
        </w:tc>
        <w:tc>
          <w:tcPr>
            <w:tcW w:type="dxa" w:w="3561"/>
            <w:vAlign w:val="top"/>
          </w:tcPr>
          <w:p>
            <w:pPr>
              <w:spacing w:after="0" w:line="226" w:lineRule="auto"/>
            </w:pPr>
            <w:r>
              <w:rPr>
                <w:rFonts w:ascii="Times New Roman" w:hAnsi="Times New Roman"/>
                <w:sz w:val="13"/>
              </w:rPr>
              <w:t>Supports selected armed crossing force.</w:t>
            </w:r>
          </w:p>
        </w:tc>
      </w:tr>
      <w:tr>
        <w:tc>
          <w:tcPr>
            <w:tcW w:type="dxa" w:w="3561"/>
            <w:vAlign w:val="top"/>
          </w:tcPr>
          <w:p>
            <w:pPr>
              <w:spacing w:after="0" w:line="226" w:lineRule="auto"/>
            </w:pPr>
            <w:r>
              <w:rPr>
                <w:rFonts w:ascii="Times New Roman" w:hAnsi="Times New Roman"/>
                <w:sz w:val="13"/>
              </w:rPr>
              <w:t>Deut. 3:21–22</w:t>
            </w:r>
          </w:p>
        </w:tc>
        <w:tc>
          <w:tcPr>
            <w:tcW w:type="dxa" w:w="3561"/>
            <w:vAlign w:val="top"/>
          </w:tcPr>
          <w:p>
            <w:pPr>
              <w:spacing w:after="0" w:line="226" w:lineRule="auto"/>
            </w:pPr>
            <w:r>
              <w:rPr>
                <w:rFonts w:ascii="Times New Roman" w:hAnsi="Times New Roman"/>
                <w:sz w:val="13"/>
              </w:rPr>
              <w:t>Joshua encouraged</w:t>
            </w:r>
          </w:p>
        </w:tc>
        <w:tc>
          <w:tcPr>
            <w:tcW w:type="dxa" w:w="3561"/>
            <w:vAlign w:val="top"/>
          </w:tcPr>
          <w:p>
            <w:pPr>
              <w:spacing w:after="0" w:line="226" w:lineRule="auto"/>
            </w:pPr>
            <w:r>
              <w:rPr>
                <w:rFonts w:ascii="Times New Roman" w:hAnsi="Times New Roman"/>
                <w:sz w:val="13"/>
              </w:rPr>
              <w:t>Prior victory → future confidence.</w:t>
            </w:r>
          </w:p>
        </w:tc>
      </w:tr>
      <w:tr>
        <w:tc>
          <w:tcPr>
            <w:tcW w:type="dxa" w:w="3561"/>
            <w:vAlign w:val="top"/>
          </w:tcPr>
          <w:p>
            <w:pPr>
              <w:spacing w:after="0" w:line="226" w:lineRule="auto"/>
            </w:pPr>
            <w:r>
              <w:rPr>
                <w:rFonts w:ascii="Times New Roman" w:hAnsi="Times New Roman"/>
                <w:sz w:val="13"/>
              </w:rPr>
              <w:t>Deut. 3:26 / Num. 20:12</w:t>
            </w:r>
          </w:p>
        </w:tc>
        <w:tc>
          <w:tcPr>
            <w:tcW w:type="dxa" w:w="3561"/>
            <w:vAlign w:val="top"/>
          </w:tcPr>
          <w:p>
            <w:pPr>
              <w:spacing w:after="0" w:line="226" w:lineRule="auto"/>
            </w:pPr>
            <w:r>
              <w:rPr>
                <w:rFonts w:ascii="Times New Roman" w:hAnsi="Times New Roman"/>
                <w:sz w:val="13"/>
              </w:rPr>
              <w:t>Moses refused</w:t>
            </w:r>
          </w:p>
        </w:tc>
        <w:tc>
          <w:tcPr>
            <w:tcW w:type="dxa" w:w="3561"/>
            <w:vAlign w:val="top"/>
          </w:tcPr>
          <w:p>
            <w:pPr>
              <w:spacing w:after="0" w:line="226" w:lineRule="auto"/>
            </w:pPr>
            <w:r>
              <w:rPr>
                <w:rFonts w:ascii="Times New Roman" w:hAnsi="Times New Roman"/>
                <w:sz w:val="13"/>
              </w:rPr>
              <w:t>Provocation context plus personal failure.</w:t>
            </w:r>
          </w:p>
        </w:tc>
      </w:tr>
      <w:tr>
        <w:tc>
          <w:tcPr>
            <w:tcW w:type="dxa" w:w="3561"/>
            <w:vAlign w:val="top"/>
          </w:tcPr>
          <w:p>
            <w:pPr>
              <w:spacing w:after="0" w:line="226" w:lineRule="auto"/>
            </w:pPr>
            <w:r>
              <w:rPr>
                <w:rFonts w:ascii="Times New Roman" w:hAnsi="Times New Roman"/>
                <w:sz w:val="13"/>
              </w:rPr>
              <w:t>Deut. 3:26</w:t>
            </w:r>
          </w:p>
        </w:tc>
        <w:tc>
          <w:tcPr>
            <w:tcW w:type="dxa" w:w="3561"/>
            <w:vAlign w:val="top"/>
          </w:tcPr>
          <w:p>
            <w:pPr>
              <w:spacing w:after="0" w:line="226" w:lineRule="auto"/>
            </w:pPr>
            <w:r>
              <w:rPr>
                <w:rFonts w:ascii="Times New Roman" w:hAnsi="Times New Roman"/>
                <w:sz w:val="13"/>
              </w:rPr>
              <w:t>rav-lakh</w:t>
            </w:r>
          </w:p>
        </w:tc>
        <w:tc>
          <w:tcPr>
            <w:tcW w:type="dxa" w:w="3561"/>
            <w:vAlign w:val="top"/>
          </w:tcPr>
          <w:p>
            <w:pPr>
              <w:spacing w:after="0" w:line="226" w:lineRule="auto"/>
            </w:pPr>
            <w:r>
              <w:rPr>
                <w:rFonts w:ascii="Times New Roman" w:hAnsi="Times New Roman"/>
                <w:sz w:val="13"/>
              </w:rPr>
              <w:t>Enough for you / let it suffice.</w:t>
            </w:r>
          </w:p>
        </w:tc>
      </w:tr>
      <w:tr>
        <w:tc>
          <w:tcPr>
            <w:tcW w:type="dxa" w:w="3561"/>
            <w:vAlign w:val="top"/>
          </w:tcPr>
          <w:p>
            <w:pPr>
              <w:spacing w:after="0" w:line="226" w:lineRule="auto"/>
            </w:pPr>
            <w:r>
              <w:rPr>
                <w:rFonts w:ascii="Times New Roman" w:hAnsi="Times New Roman"/>
                <w:sz w:val="13"/>
              </w:rPr>
              <w:t>Deut. 3:27</w:t>
            </w:r>
          </w:p>
        </w:tc>
        <w:tc>
          <w:tcPr>
            <w:tcW w:type="dxa" w:w="3561"/>
            <w:vAlign w:val="top"/>
          </w:tcPr>
          <w:p>
            <w:pPr>
              <w:spacing w:after="0" w:line="226" w:lineRule="auto"/>
            </w:pPr>
            <w:r>
              <w:rPr>
                <w:rFonts w:ascii="Times New Roman" w:hAnsi="Times New Roman"/>
                <w:sz w:val="13"/>
              </w:rPr>
              <w:t>Pisgah</w:t>
            </w:r>
          </w:p>
        </w:tc>
        <w:tc>
          <w:tcPr>
            <w:tcW w:type="dxa" w:w="3561"/>
            <w:vAlign w:val="top"/>
          </w:tcPr>
          <w:p>
            <w:pPr>
              <w:spacing w:after="0" w:line="226" w:lineRule="auto"/>
            </w:pPr>
            <w:r>
              <w:rPr>
                <w:rFonts w:ascii="Times New Roman" w:hAnsi="Times New Roman"/>
                <w:sz w:val="13"/>
              </w:rPr>
              <w:t>View granted, crossing denied.</w:t>
            </w:r>
          </w:p>
        </w:tc>
      </w:tr>
    </w:tbl>
    <w:p>
      <w:pPr>
        <w:pStyle w:val="Heading1"/>
      </w:pPr>
      <w:r>
        <w:t>RESIDUAL UNCERTAINTIES</w:t>
      </w:r>
    </w:p>
    <w:p>
      <w:pPr/>
      <w:r>
        <w:rPr>
          <w:i w:val="0"/>
        </w:rPr>
        <w:t>Og’s precise height, the function of his iron `eres`, and the exact boundaries of Argob remain uncertain. Mansfield’s archaeological anecdotes, basalt interpretation and unrecorded peace-offer claim are not treated as established.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9"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 w:after="12"/>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30" w:after="12"/>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