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4</w:t>
      </w:r>
    </w:p>
    <w:p>
      <w:pPr>
        <w:pStyle w:val="Subtitle"/>
      </w:pPr>
      <w:r>
        <w:t>HEARKEN • DO NOT ADD OR DIMINISH • CLEAVE TO YAHWEH • TEACH THE CHILDREN • NO IMAGE OF GOD • IRON FURNACE • DISPERSION AND RETURN • “YAHWEH HE IS GOD; THERE IS NONE ELSE”</w:t>
      </w:r>
    </w:p>
    <w:p>
      <w:pPr/>
      <w:r>
        <w:rPr>
          <w:i/>
        </w:rPr>
        <w:t>H. P. Mansfield Bible notes — checked and arranged in verse-by-verse Expositor style</w:t>
      </w:r>
    </w:p>
    <w:p>
      <w:pPr/>
      <w:r>
        <w:rPr>
          <w:i w:val="0"/>
        </w:rPr>
        <w:t>Source: HPB 04-Deu01-Jud04.PDF pp. 9–11; cross-checked with Mansfield’s Deuteronomy Expositor Chapter 4.</w:t>
      </w:r>
    </w:p>
    <w:p>
      <w:pPr>
        <w:pStyle w:val="Heading1"/>
      </w:pPr>
      <w:r>
        <w:t>CHAPTER OVERVIEW</w:t>
      </w:r>
    </w:p>
    <w:p>
      <w:pPr/>
      <w:r>
        <w:rPr>
          <w:i w:val="0"/>
        </w:rPr>
        <w:t>Moses turns from retrospect to direct exhortation. Israel’s privileges—revelation, righteous statutes, Yahweh’s nearness and the Horeb experience—create responsibility to remember, teach and obey.</w:t>
      </w:r>
    </w:p>
    <w:p>
      <w:pPr/>
      <w:r>
        <w:rPr>
          <w:i w:val="0"/>
        </w:rPr>
        <w:t>The chapter’s repeated contrast is between the unseen God who speaks and the visible images humans manufacture. Forgetting produces idolatry and dispersion; seeking Yahweh with heart and soul opens the way of mercy.</w:t>
      </w:r>
    </w:p>
    <w:p>
      <w:pPr>
        <w:pStyle w:val="Heading1"/>
      </w:pPr>
      <w:r>
        <w:t>HEAR AND DO — DEUTERONOMY 4:1–8</w:t>
      </w:r>
    </w:p>
    <w:p>
      <w:pPr>
        <w:pStyle w:val="Heading2"/>
      </w:pPr>
      <w:r>
        <w:t>Deuteronomy 4:1–2 — life through hearing and obedience</w:t>
      </w:r>
    </w:p>
    <w:p>
      <w:pPr/>
      <w:r>
        <w:rPr>
          <w:i w:val="0"/>
        </w:rPr>
        <w:t>Israel must hear statutes and judgments “for to do them” so that they may live and possess the land. Nothing is to be added to or diminished from Yahweh’s command.</w:t>
      </w:r>
    </w:p>
    <w:p>
      <w:pPr/>
      <w:r>
        <w:rPr>
          <w:i w:val="0"/>
        </w:rPr>
        <w:t>`Choq/chuqqim` denotes statute/prescribed enactment and `mishpatim` judgments/legal decisions. Mansfield’s engraving etymology for `choq` is possible word-history but should not substitute for the ordinary legal sense.</w:t>
      </w:r>
    </w:p>
    <w:p>
      <w:pPr>
        <w:pStyle w:val="Heading2"/>
      </w:pPr>
      <w:r>
        <w:t>Deuteronomy 4:3–4 — Baal-peor as immediate evidence</w:t>
      </w:r>
    </w:p>
    <w:p>
      <w:pPr/>
      <w:r>
        <w:rPr>
          <w:i w:val="0"/>
        </w:rPr>
        <w:t>Those who followed Baal-peor were destroyed; those who `dabaq`, cleaved/held fast to Yahweh, are alive.</w:t>
      </w:r>
    </w:p>
    <w:p>
      <w:pPr/>
      <w:r>
        <w:rPr>
          <w:i w:val="0"/>
        </w:rPr>
        <w:t>`Dabaq` is also used of close human attachment, including marriage, so Mansfield’s covenant-marriage application is appropriate as analogy without making the word itself exclusively marital.</w:t>
      </w:r>
    </w:p>
    <w:p>
      <w:pPr>
        <w:pStyle w:val="Heading2"/>
      </w:pPr>
      <w:r>
        <w:t>Deuteronomy 4:5–6 — law as wisdom</w:t>
      </w:r>
    </w:p>
    <w:p>
      <w:pPr/>
      <w:r>
        <w:rPr>
          <w:i w:val="0"/>
        </w:rPr>
        <w:t>Keeping Yahweh’s statutes and judgments is Israel’s wisdom and understanding before the nations. The law is intended to display righteous ordered life, not national embarrassment.</w:t>
      </w:r>
    </w:p>
    <w:p>
      <w:pPr>
        <w:pStyle w:val="Heading2"/>
      </w:pPr>
      <w:r>
        <w:t>Deuteronomy 4:7 — “God so nigh” means God</w:t>
      </w:r>
    </w:p>
    <w:p>
      <w:pPr/>
      <w:r>
        <w:rPr>
          <w:i w:val="0"/>
        </w:rPr>
        <w:t>Israel’s privilege is that Yahweh their God is near whenever they call upon Him.</w:t>
      </w:r>
    </w:p>
    <w:p>
      <w:pPr/>
      <w:r>
        <w:rPr>
          <w:i w:val="0"/>
        </w:rPr>
        <w:t>The noun `Elohim` is grammatically plural in form but here unquestionably denotes the one God of Israel. Mansfield’s comment that it should be read as “angels” in this verse is incorrect; angelic ministry may be taught elsewhere, but it is not the lexical meaning here.</w:t>
      </w:r>
    </w:p>
    <w:p>
      <w:pPr>
        <w:pStyle w:val="Heading2"/>
      </w:pPr>
      <w:r>
        <w:t>Deuteronomy 4:8 — righteous statutes</w:t>
      </w:r>
    </w:p>
    <w:p>
      <w:pPr/>
      <w:r>
        <w:rPr>
          <w:i w:val="0"/>
        </w:rPr>
        <w:t>No other nation possesses a covenant law comparable to what Moses sets before Israel.</w:t>
      </w:r>
    </w:p>
    <w:p>
      <w:pPr>
        <w:pStyle w:val="Heading1"/>
      </w:pPr>
      <w:r>
        <w:t>REMEMBER HOREB AND TEACH — DEUTERONOMY 4:9–14</w:t>
      </w:r>
    </w:p>
    <w:p>
      <w:pPr>
        <w:pStyle w:val="Heading2"/>
      </w:pPr>
      <w:r>
        <w:t>Deuteronomy 4:9 — guard yourself and your nephesh</w:t>
      </w:r>
    </w:p>
    <w:p>
      <w:pPr/>
      <w:r>
        <w:rPr>
          <w:i w:val="0"/>
        </w:rPr>
        <w:t>Israel must take heed and keep its nephesh diligently lest the things seen be forgotten, and must teach them to children and grandchildren.</w:t>
      </w:r>
    </w:p>
    <w:p>
      <w:pPr/>
      <w:r>
        <w:rPr>
          <w:i w:val="0"/>
        </w:rPr>
        <w:t>`Nephesh` here means self/life/person; the phrase does not imply an inherently immortal soul.</w:t>
      </w:r>
    </w:p>
    <w:p>
      <w:pPr>
        <w:pStyle w:val="Heading2"/>
      </w:pPr>
      <w:r>
        <w:t>Deuteronomy 4:10–12 — voice without visible form</w:t>
      </w:r>
    </w:p>
    <w:p>
      <w:pPr/>
      <w:r>
        <w:rPr>
          <w:i w:val="0"/>
        </w:rPr>
        <w:t>At Horeb Yahweh assembled Israel to hear His words. They saw fire and darkness and heard a voice, but “saw no similitude/form.”</w:t>
      </w:r>
    </w:p>
    <w:p>
      <w:pPr/>
      <w:r>
        <w:rPr>
          <w:i w:val="0"/>
        </w:rPr>
        <w:t>This contrast becomes the theological basis of the image prohibition.</w:t>
      </w:r>
    </w:p>
    <w:p>
      <w:pPr>
        <w:pStyle w:val="Heading2"/>
      </w:pPr>
      <w:r>
        <w:t>Deuteronomy 4:13–14 — covenant and commandments</w:t>
      </w:r>
    </w:p>
    <w:p>
      <w:pPr/>
      <w:r>
        <w:rPr>
          <w:i w:val="0"/>
        </w:rPr>
        <w:t>The Ten Words are written on two stone tablets; statutes and judgments are taught for life in the land.</w:t>
      </w:r>
    </w:p>
    <w:p>
      <w:pPr>
        <w:pStyle w:val="Heading1"/>
      </w:pPr>
      <w:r>
        <w:t>NO LIKENESS OF YAHWEH — DEUTERONOMY 4:15–20</w:t>
      </w:r>
    </w:p>
    <w:p>
      <w:pPr>
        <w:pStyle w:val="Heading2"/>
      </w:pPr>
      <w:r>
        <w:t>Deuteronomy 4:15–18 — no human or animal image</w:t>
      </w:r>
    </w:p>
    <w:p>
      <w:pPr/>
      <w:r>
        <w:rPr>
          <w:i w:val="0"/>
        </w:rPr>
        <w:t>Because Israel saw no `temunah`, form/likeness, when Yahweh spoke from the fire, it must not manufacture an image of male, female, beast, bird, creeping thing or fish.</w:t>
      </w:r>
    </w:p>
    <w:p>
      <w:pPr/>
      <w:r>
        <w:rPr>
          <w:i w:val="0"/>
        </w:rPr>
        <w:t>The text directly resists materialising the invisible God.</w:t>
      </w:r>
    </w:p>
    <w:p>
      <w:pPr>
        <w:pStyle w:val="Heading2"/>
      </w:pPr>
      <w:r>
        <w:t>Deuteronomy 4:19 — sun, moon and stars</w:t>
      </w:r>
    </w:p>
    <w:p>
      <w:pPr/>
      <w:r>
        <w:rPr>
          <w:i w:val="0"/>
        </w:rPr>
        <w:t>Israel must not lift its eyes to the heavenly host and be driven to worship them. Yahweh has allotted the heavenly lights “unto all nations under the whole heaven.”</w:t>
      </w:r>
    </w:p>
    <w:p>
      <w:pPr/>
      <w:r>
        <w:rPr>
          <w:i w:val="0"/>
        </w:rPr>
        <w:t>The allotment describes their universal created place/function, not Divine authorisation for the nations to worship them.</w:t>
      </w:r>
    </w:p>
    <w:p>
      <w:pPr>
        <w:pStyle w:val="Heading2"/>
      </w:pPr>
      <w:r>
        <w:t>Deuteronomy 4:20 — iron furnace</w:t>
      </w:r>
    </w:p>
    <w:p>
      <w:pPr/>
      <w:r>
        <w:rPr>
          <w:i w:val="0"/>
        </w:rPr>
        <w:t>Egypt is called the “iron furnace,” a metaphor for severe bondage, from which Yahweh took Israel to become His inheritance people.</w:t>
      </w:r>
    </w:p>
    <w:p>
      <w:pPr/>
      <w:r>
        <w:rPr>
          <w:i w:val="0"/>
        </w:rPr>
        <w:t>It should not be made into a claim about literal iron-smelting technology required by the Exodus narrative.</w:t>
      </w:r>
    </w:p>
    <w:p>
      <w:pPr>
        <w:pStyle w:val="Heading1"/>
      </w:pPr>
      <w:r>
        <w:t>JEALOUS COVENANT GOD — DEUTERONOMY 4:21–24</w:t>
      </w:r>
    </w:p>
    <w:p>
      <w:pPr>
        <w:pStyle w:val="Heading2"/>
      </w:pPr>
      <w:r>
        <w:t>Deuteronomy 4:21–22 — Moses again will not cross</w:t>
      </w:r>
    </w:p>
    <w:p>
      <w:pPr/>
      <w:r>
        <w:rPr>
          <w:i w:val="0"/>
        </w:rPr>
        <w:t>Moses uses his own exclusion to reinforce the warning: he will die east of Jordan while Israel crosses.</w:t>
      </w:r>
    </w:p>
    <w:p>
      <w:pPr>
        <w:pStyle w:val="Heading2"/>
      </w:pPr>
      <w:r>
        <w:t>Deuteronomy 4:23–24 — consuming fire and jealousy</w:t>
      </w:r>
    </w:p>
    <w:p>
      <w:pPr/>
      <w:r>
        <w:rPr>
          <w:i w:val="0"/>
        </w:rPr>
        <w:t>Israel must not forget the covenant or make an image. “Yahweh thy God is a consuming fire, even a jealous God.”</w:t>
      </w:r>
    </w:p>
    <w:p>
      <w:pPr/>
      <w:r>
        <w:rPr>
          <w:i w:val="0"/>
        </w:rPr>
        <w:t>`Qanna` expresses covenant jealousy/exclusive claim. It is not human insecurity; Yahweh will not share Israel’s worship with idols.</w:t>
      </w:r>
    </w:p>
    <w:p>
      <w:pPr>
        <w:pStyle w:val="Heading1"/>
      </w:pPr>
      <w:r>
        <w:t>DISPERSION AND MERCY — DEUTERONOMY 4:25–31</w:t>
      </w:r>
    </w:p>
    <w:p>
      <w:pPr>
        <w:pStyle w:val="Heading2"/>
      </w:pPr>
      <w:r>
        <w:t>Deuteronomy 4:25–28 — idolatry leads to loss and dispersion</w:t>
      </w:r>
    </w:p>
    <w:p>
      <w:pPr/>
      <w:r>
        <w:rPr>
          <w:i w:val="0"/>
        </w:rPr>
        <w:t>Moses foresees later generations corrupting themselves with images. Heaven and earth are summoned as witnesses that prolonged possession will be lost and Israel scattered among nations.</w:t>
      </w:r>
    </w:p>
    <w:p>
      <w:pPr/>
      <w:r>
        <w:rPr>
          <w:i w:val="0"/>
        </w:rPr>
        <w:t>In dispersion they will serve powerless works of human hands.</w:t>
      </w:r>
    </w:p>
    <w:p>
      <w:pPr>
        <w:pStyle w:val="Heading2"/>
      </w:pPr>
      <w:r>
        <w:t>Deuteronomy 4:29–31 — seek from there and find</w:t>
      </w:r>
    </w:p>
    <w:p>
      <w:pPr/>
      <w:r>
        <w:rPr>
          <w:i w:val="0"/>
        </w:rPr>
        <w:t>From dispersion, if Israel seeks Yahweh with all heart and nephesh, He can be found. In tribulation “in the latter days,” return remains possible because Yahweh is merciful and will not forget the fathers’ covenant.</w:t>
      </w:r>
    </w:p>
    <w:p>
      <w:pPr/>
      <w:r>
        <w:rPr>
          <w:i w:val="0"/>
        </w:rPr>
        <w:t>Judgment does not erase covenant mercy.</w:t>
      </w:r>
    </w:p>
    <w:p>
      <w:pPr>
        <w:pStyle w:val="Heading1"/>
      </w:pPr>
      <w:r>
        <w:t>YAHWEH ALONE IS GOD — DEUTERONOMY 4:32–40</w:t>
      </w:r>
    </w:p>
    <w:p>
      <w:pPr>
        <w:pStyle w:val="Heading2"/>
      </w:pPr>
      <w:r>
        <w:t>Deuteronomy 4:32–34 — unprecedented revelation and redemption</w:t>
      </w:r>
    </w:p>
    <w:p>
      <w:pPr/>
      <w:r>
        <w:rPr>
          <w:i w:val="0"/>
        </w:rPr>
        <w:t>Moses challenges Israel to compare its experience with all history since God created humankind: hearing God’s voice, surviving, and being taken out from another nation by trials, signs, wonders and war.</w:t>
      </w:r>
    </w:p>
    <w:p>
      <w:pPr>
        <w:pStyle w:val="Heading2"/>
      </w:pPr>
      <w:r>
        <w:t>Deuteronomy 4:35 — “there is none else beside him”</w:t>
      </w:r>
    </w:p>
    <w:p>
      <w:pPr/>
      <w:r>
        <w:rPr>
          <w:i w:val="0"/>
        </w:rPr>
        <w:t>The purpose of revelation is knowledge: “Yahweh he is God; there is none else beside him.” This is uncompromising biblical monotheism.</w:t>
      </w:r>
    </w:p>
    <w:p>
      <w:pPr>
        <w:pStyle w:val="Heading2"/>
      </w:pPr>
      <w:r>
        <w:t>Deuteronomy 4:36–38 — discipline, love and inheritance</w:t>
      </w:r>
    </w:p>
    <w:p>
      <w:pPr/>
      <w:r>
        <w:rPr>
          <w:i w:val="0"/>
        </w:rPr>
        <w:t>Israel heard the heavenly voice for instruction; Yahweh loved the fathers, chose their seed, brought Israel out of Egypt and dispossessed stronger nations.</w:t>
      </w:r>
    </w:p>
    <w:p>
      <w:pPr>
        <w:pStyle w:val="Heading2"/>
      </w:pPr>
      <w:r>
        <w:t>Deuteronomy 4:39–40 — know, consider, keep</w:t>
      </w:r>
    </w:p>
    <w:p>
      <w:pPr/>
      <w:r>
        <w:rPr>
          <w:i w:val="0"/>
        </w:rPr>
        <w:t>Israel must know and lay it to heart that Yahweh alone is God in heaven above and earth beneath, then keep His statutes for enduring good in the land.</w:t>
      </w:r>
    </w:p>
    <w:p>
      <w:pPr>
        <w:pStyle w:val="Heading1"/>
      </w:pPr>
      <w:r>
        <w:t>REFUGE CITIES AND SECOND-DISCOURSE SETTING — DEUTERONOMY 4:41–49</w:t>
      </w:r>
    </w:p>
    <w:p>
      <w:pPr>
        <w:pStyle w:val="Heading2"/>
      </w:pPr>
      <w:r>
        <w:t>Deuteronomy 4:41–43 — Bezer, Ramoth and Golan</w:t>
      </w:r>
    </w:p>
    <w:p>
      <w:pPr/>
      <w:r>
        <w:rPr>
          <w:i w:val="0"/>
        </w:rPr>
        <w:t>Moses separates three refuge cities east of Jordan for unintentional manslayers: Bezer, Ramoth and Golan.</w:t>
      </w:r>
    </w:p>
    <w:p>
      <w:pPr/>
      <w:r>
        <w:rPr>
          <w:i w:val="0"/>
        </w:rPr>
        <w:t>Mercy and justice are operational before the west-Jordan conquest begins.</w:t>
      </w:r>
    </w:p>
    <w:p>
      <w:pPr>
        <w:pStyle w:val="Heading2"/>
      </w:pPr>
      <w:r>
        <w:t>Deuteronomy 4:44–49 — transition to covenant exposition</w:t>
      </w:r>
    </w:p>
    <w:p>
      <w:pPr/>
      <w:r>
        <w:rPr>
          <w:i w:val="0"/>
        </w:rPr>
        <w:t>The law/testimony is introduced again with Israel east of Jordan after the victories over Sihon and Og. This forms the heading/setting for the major covenant discourse beginning in chapter 5.</w:t>
      </w:r>
    </w:p>
    <w:p>
      <w:pPr>
        <w:pStyle w:val="Heading1"/>
      </w:pPr>
      <w:r>
        <w:t>PRINCIPAL THEMES</w:t>
      </w:r>
    </w:p>
    <w:p>
      <w:pPr>
        <w:ind w:left="259" w:hanging="202"/>
      </w:pPr>
      <w:r>
        <w:rPr>
          <w:b/>
        </w:rPr>
        <w:t xml:space="preserve">• </w:t>
      </w:r>
      <w:r>
        <w:t>Deuteronomy joins hearing with doing.</w:t>
      </w:r>
    </w:p>
    <w:p>
      <w:pPr>
        <w:ind w:left="259" w:hanging="202"/>
      </w:pPr>
      <w:r>
        <w:rPr>
          <w:b/>
        </w:rPr>
        <w:t xml:space="preserve">• </w:t>
      </w:r>
      <w:r>
        <w:t>Adding to or diminishing Yahweh’s word includes perverting its force, not merely changing the physical text.</w:t>
      </w:r>
    </w:p>
    <w:p>
      <w:pPr>
        <w:ind w:left="259" w:hanging="202"/>
      </w:pPr>
      <w:r>
        <w:rPr>
          <w:b/>
        </w:rPr>
        <w:t xml:space="preserve">• </w:t>
      </w:r>
      <w:r>
        <w:t>`Dabaq` means cleave/hold fast and supports covenant-attachment imagery.</w:t>
      </w:r>
    </w:p>
    <w:p>
      <w:pPr>
        <w:ind w:left="259" w:hanging="202"/>
      </w:pPr>
      <w:r>
        <w:rPr>
          <w:b/>
        </w:rPr>
        <w:t xml:space="preserve">• </w:t>
      </w:r>
      <w:r>
        <w:t>`Elohim` in 4:7 means God, not angels.</w:t>
      </w:r>
    </w:p>
    <w:p>
      <w:pPr>
        <w:ind w:left="259" w:hanging="202"/>
      </w:pPr>
      <w:r>
        <w:rPr>
          <w:b/>
        </w:rPr>
        <w:t xml:space="preserve">• </w:t>
      </w:r>
      <w:r>
        <w:t>`Nephesh` in 4:9 and 4:29 means self/life/person.</w:t>
      </w:r>
    </w:p>
    <w:p>
      <w:pPr>
        <w:ind w:left="259" w:hanging="202"/>
      </w:pPr>
      <w:r>
        <w:rPr>
          <w:b/>
        </w:rPr>
        <w:t xml:space="preserve">• </w:t>
      </w:r>
      <w:r>
        <w:t>Israel saw no Divine form at Horeb; image-making is therefore explicitly forbidden.</w:t>
      </w:r>
    </w:p>
    <w:p>
      <w:pPr>
        <w:ind w:left="259" w:hanging="202"/>
      </w:pPr>
      <w:r>
        <w:rPr>
          <w:b/>
        </w:rPr>
        <w:t xml:space="preserve">• </w:t>
      </w:r>
      <w:r>
        <w:t>The heavenly host is created for all peoples, not allotted as legitimate objects of worship.</w:t>
      </w:r>
    </w:p>
    <w:p>
      <w:pPr>
        <w:ind w:left="259" w:hanging="202"/>
      </w:pPr>
      <w:r>
        <w:rPr>
          <w:b/>
        </w:rPr>
        <w:t xml:space="preserve">• </w:t>
      </w:r>
      <w:r>
        <w:t>Egypt’s “iron furnace” is a bondage metaphor.</w:t>
      </w:r>
    </w:p>
    <w:p>
      <w:pPr>
        <w:ind w:left="259" w:hanging="202"/>
      </w:pPr>
      <w:r>
        <w:rPr>
          <w:b/>
        </w:rPr>
        <w:t xml:space="preserve">• </w:t>
      </w:r>
      <w:r>
        <w:t>Yahweh’s jealousy is covenant exclusivity.</w:t>
      </w:r>
    </w:p>
    <w:p>
      <w:pPr>
        <w:ind w:left="259" w:hanging="202"/>
      </w:pPr>
      <w:r>
        <w:rPr>
          <w:b/>
        </w:rPr>
        <w:t xml:space="preserve">• </w:t>
      </w:r>
      <w:r>
        <w:t>Dispersion is predicted, but wholehearted seeking and return remain possible.</w:t>
      </w:r>
    </w:p>
    <w:p>
      <w:pPr>
        <w:ind w:left="259" w:hanging="202"/>
      </w:pPr>
      <w:r>
        <w:rPr>
          <w:b/>
        </w:rPr>
        <w:t xml:space="preserve">• </w:t>
      </w:r>
      <w:r>
        <w:t>The chapter’s theological summit is: Yahweh alone is God.</w:t>
      </w:r>
    </w:p>
    <w:p>
      <w:pPr>
        <w:ind w:left="259" w:hanging="202"/>
      </w:pPr>
      <w:r>
        <w:rPr>
          <w:b/>
        </w:rPr>
        <w:t xml:space="preserve">• </w:t>
      </w:r>
      <w:r>
        <w:t>Three east-Jordan refuge cities close the first retrospective discourse.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6" w:lineRule="auto"/>
            </w:pPr>
            <w:r>
              <w:rPr>
                <w:rFonts w:ascii="Times New Roman" w:hAnsi="Times New Roman"/>
                <w:sz w:val="13"/>
              </w:rPr>
              <w:t>Deut. 4:1</w:t>
            </w:r>
          </w:p>
        </w:tc>
        <w:tc>
          <w:tcPr>
            <w:tcW w:type="dxa" w:w="3561"/>
            <w:vAlign w:val="top"/>
          </w:tcPr>
          <w:p>
            <w:pPr>
              <w:spacing w:after="0" w:line="226" w:lineRule="auto"/>
            </w:pPr>
            <w:r>
              <w:rPr>
                <w:rFonts w:ascii="Times New Roman" w:hAnsi="Times New Roman"/>
                <w:sz w:val="13"/>
              </w:rPr>
              <w:t>chuqqim / mishpatim</w:t>
            </w:r>
          </w:p>
        </w:tc>
        <w:tc>
          <w:tcPr>
            <w:tcW w:type="dxa" w:w="3561"/>
            <w:vAlign w:val="top"/>
          </w:tcPr>
          <w:p>
            <w:pPr>
              <w:spacing w:after="0" w:line="226" w:lineRule="auto"/>
            </w:pPr>
            <w:r>
              <w:rPr>
                <w:rFonts w:ascii="Times New Roman" w:hAnsi="Times New Roman"/>
                <w:sz w:val="13"/>
              </w:rPr>
              <w:t>Statutes / judgments.</w:t>
            </w:r>
          </w:p>
        </w:tc>
      </w:tr>
      <w:tr>
        <w:tc>
          <w:tcPr>
            <w:tcW w:type="dxa" w:w="3561"/>
            <w:vAlign w:val="top"/>
          </w:tcPr>
          <w:p>
            <w:pPr>
              <w:spacing w:after="0" w:line="226" w:lineRule="auto"/>
            </w:pPr>
            <w:r>
              <w:rPr>
                <w:rFonts w:ascii="Times New Roman" w:hAnsi="Times New Roman"/>
                <w:sz w:val="13"/>
              </w:rPr>
              <w:t>Deut. 4:2</w:t>
            </w:r>
          </w:p>
        </w:tc>
        <w:tc>
          <w:tcPr>
            <w:tcW w:type="dxa" w:w="3561"/>
            <w:vAlign w:val="top"/>
          </w:tcPr>
          <w:p>
            <w:pPr>
              <w:spacing w:after="0" w:line="226" w:lineRule="auto"/>
            </w:pPr>
            <w:r>
              <w:rPr>
                <w:rFonts w:ascii="Times New Roman" w:hAnsi="Times New Roman"/>
                <w:sz w:val="13"/>
              </w:rPr>
              <w:t>do not add/diminish</w:t>
            </w:r>
          </w:p>
        </w:tc>
        <w:tc>
          <w:tcPr>
            <w:tcW w:type="dxa" w:w="3561"/>
            <w:vAlign w:val="top"/>
          </w:tcPr>
          <w:p>
            <w:pPr>
              <w:spacing w:after="0" w:line="226" w:lineRule="auto"/>
            </w:pPr>
            <w:r>
              <w:rPr>
                <w:rFonts w:ascii="Times New Roman" w:hAnsi="Times New Roman"/>
                <w:sz w:val="13"/>
              </w:rPr>
              <w:t>Preserve and obey Yahweh’s command.</w:t>
            </w:r>
          </w:p>
        </w:tc>
      </w:tr>
      <w:tr>
        <w:tc>
          <w:tcPr>
            <w:tcW w:type="dxa" w:w="3561"/>
            <w:vAlign w:val="top"/>
          </w:tcPr>
          <w:p>
            <w:pPr>
              <w:spacing w:after="0" w:line="226" w:lineRule="auto"/>
            </w:pPr>
            <w:r>
              <w:rPr>
                <w:rFonts w:ascii="Times New Roman" w:hAnsi="Times New Roman"/>
                <w:sz w:val="13"/>
              </w:rPr>
              <w:t>Deut. 4:3–4</w:t>
            </w:r>
          </w:p>
        </w:tc>
        <w:tc>
          <w:tcPr>
            <w:tcW w:type="dxa" w:w="3561"/>
            <w:vAlign w:val="top"/>
          </w:tcPr>
          <w:p>
            <w:pPr>
              <w:spacing w:after="0" w:line="226" w:lineRule="auto"/>
            </w:pPr>
            <w:r>
              <w:rPr>
                <w:rFonts w:ascii="Times New Roman" w:hAnsi="Times New Roman"/>
                <w:sz w:val="13"/>
              </w:rPr>
              <w:t>Baal-peor / cleaving</w:t>
            </w:r>
          </w:p>
        </w:tc>
        <w:tc>
          <w:tcPr>
            <w:tcW w:type="dxa" w:w="3561"/>
            <w:vAlign w:val="top"/>
          </w:tcPr>
          <w:p>
            <w:pPr>
              <w:spacing w:after="0" w:line="226" w:lineRule="auto"/>
            </w:pPr>
            <w:r>
              <w:rPr>
                <w:rFonts w:ascii="Times New Roman" w:hAnsi="Times New Roman"/>
                <w:sz w:val="13"/>
              </w:rPr>
              <w:t>Judgment contrasted with covenant attachment.</w:t>
            </w:r>
          </w:p>
        </w:tc>
      </w:tr>
      <w:tr>
        <w:tc>
          <w:tcPr>
            <w:tcW w:type="dxa" w:w="3561"/>
            <w:vAlign w:val="top"/>
          </w:tcPr>
          <w:p>
            <w:pPr>
              <w:spacing w:after="0" w:line="226" w:lineRule="auto"/>
            </w:pPr>
            <w:r>
              <w:rPr>
                <w:rFonts w:ascii="Times New Roman" w:hAnsi="Times New Roman"/>
                <w:sz w:val="13"/>
              </w:rPr>
              <w:t>Deut. 4:6</w:t>
            </w:r>
          </w:p>
        </w:tc>
        <w:tc>
          <w:tcPr>
            <w:tcW w:type="dxa" w:w="3561"/>
            <w:vAlign w:val="top"/>
          </w:tcPr>
          <w:p>
            <w:pPr>
              <w:spacing w:after="0" w:line="226" w:lineRule="auto"/>
            </w:pPr>
            <w:r>
              <w:rPr>
                <w:rFonts w:ascii="Times New Roman" w:hAnsi="Times New Roman"/>
                <w:sz w:val="13"/>
              </w:rPr>
              <w:t>wisdom before nations</w:t>
            </w:r>
          </w:p>
        </w:tc>
        <w:tc>
          <w:tcPr>
            <w:tcW w:type="dxa" w:w="3561"/>
            <w:vAlign w:val="top"/>
          </w:tcPr>
          <w:p>
            <w:pPr>
              <w:spacing w:after="0" w:line="226" w:lineRule="auto"/>
            </w:pPr>
            <w:r>
              <w:rPr>
                <w:rFonts w:ascii="Times New Roman" w:hAnsi="Times New Roman"/>
                <w:sz w:val="13"/>
              </w:rPr>
              <w:t>Obedience as witness.</w:t>
            </w:r>
          </w:p>
        </w:tc>
      </w:tr>
      <w:tr>
        <w:tc>
          <w:tcPr>
            <w:tcW w:type="dxa" w:w="3561"/>
            <w:vAlign w:val="top"/>
          </w:tcPr>
          <w:p>
            <w:pPr>
              <w:spacing w:after="0" w:line="226" w:lineRule="auto"/>
            </w:pPr>
            <w:r>
              <w:rPr>
                <w:rFonts w:ascii="Times New Roman" w:hAnsi="Times New Roman"/>
                <w:sz w:val="13"/>
              </w:rPr>
              <w:t>Deut. 4:7</w:t>
            </w:r>
          </w:p>
        </w:tc>
        <w:tc>
          <w:tcPr>
            <w:tcW w:type="dxa" w:w="3561"/>
            <w:vAlign w:val="top"/>
          </w:tcPr>
          <w:p>
            <w:pPr>
              <w:spacing w:after="0" w:line="226" w:lineRule="auto"/>
            </w:pPr>
            <w:r>
              <w:rPr>
                <w:rFonts w:ascii="Times New Roman" w:hAnsi="Times New Roman"/>
                <w:sz w:val="13"/>
              </w:rPr>
              <w:t>Elohim</w:t>
            </w:r>
          </w:p>
        </w:tc>
        <w:tc>
          <w:tcPr>
            <w:tcW w:type="dxa" w:w="3561"/>
            <w:vAlign w:val="top"/>
          </w:tcPr>
          <w:p>
            <w:pPr>
              <w:spacing w:after="0" w:line="226" w:lineRule="auto"/>
            </w:pPr>
            <w:r>
              <w:rPr>
                <w:rFonts w:ascii="Times New Roman" w:hAnsi="Times New Roman"/>
                <w:sz w:val="13"/>
              </w:rPr>
              <w:t>God in context; Mansfield “angels” correction.</w:t>
            </w:r>
          </w:p>
        </w:tc>
      </w:tr>
      <w:tr>
        <w:tc>
          <w:tcPr>
            <w:tcW w:type="dxa" w:w="3561"/>
            <w:vAlign w:val="top"/>
          </w:tcPr>
          <w:p>
            <w:pPr>
              <w:spacing w:after="0" w:line="226" w:lineRule="auto"/>
            </w:pPr>
            <w:r>
              <w:rPr>
                <w:rFonts w:ascii="Times New Roman" w:hAnsi="Times New Roman"/>
                <w:sz w:val="13"/>
              </w:rPr>
              <w:t>Deut. 4:9</w:t>
            </w:r>
          </w:p>
        </w:tc>
        <w:tc>
          <w:tcPr>
            <w:tcW w:type="dxa" w:w="3561"/>
            <w:vAlign w:val="top"/>
          </w:tcPr>
          <w:p>
            <w:pPr>
              <w:spacing w:after="0" w:line="226" w:lineRule="auto"/>
            </w:pPr>
            <w:r>
              <w:rPr>
                <w:rFonts w:ascii="Times New Roman" w:hAnsi="Times New Roman"/>
                <w:sz w:val="13"/>
              </w:rPr>
              <w:t>nephesh</w:t>
            </w:r>
          </w:p>
        </w:tc>
        <w:tc>
          <w:tcPr>
            <w:tcW w:type="dxa" w:w="3561"/>
            <w:vAlign w:val="top"/>
          </w:tcPr>
          <w:p>
            <w:pPr>
              <w:spacing w:after="0" w:line="226" w:lineRule="auto"/>
            </w:pPr>
            <w:r>
              <w:rPr>
                <w:rFonts w:ascii="Times New Roman" w:hAnsi="Times New Roman"/>
                <w:sz w:val="13"/>
              </w:rPr>
              <w:t>Self/life/person.</w:t>
            </w:r>
          </w:p>
        </w:tc>
      </w:tr>
      <w:tr>
        <w:tc>
          <w:tcPr>
            <w:tcW w:type="dxa" w:w="3561"/>
            <w:vAlign w:val="top"/>
          </w:tcPr>
          <w:p>
            <w:pPr>
              <w:spacing w:after="0" w:line="226" w:lineRule="auto"/>
            </w:pPr>
            <w:r>
              <w:rPr>
                <w:rFonts w:ascii="Times New Roman" w:hAnsi="Times New Roman"/>
                <w:sz w:val="13"/>
              </w:rPr>
              <w:t>Deut. 4:10–12</w:t>
            </w:r>
          </w:p>
        </w:tc>
        <w:tc>
          <w:tcPr>
            <w:tcW w:type="dxa" w:w="3561"/>
            <w:vAlign w:val="top"/>
          </w:tcPr>
          <w:p>
            <w:pPr>
              <w:spacing w:after="0" w:line="226" w:lineRule="auto"/>
            </w:pPr>
            <w:r>
              <w:rPr>
                <w:rFonts w:ascii="Times New Roman" w:hAnsi="Times New Roman"/>
                <w:sz w:val="13"/>
              </w:rPr>
              <w:t>voice, no form</w:t>
            </w:r>
          </w:p>
        </w:tc>
        <w:tc>
          <w:tcPr>
            <w:tcW w:type="dxa" w:w="3561"/>
            <w:vAlign w:val="top"/>
          </w:tcPr>
          <w:p>
            <w:pPr>
              <w:spacing w:after="0" w:line="226" w:lineRule="auto"/>
            </w:pPr>
            <w:r>
              <w:rPr>
                <w:rFonts w:ascii="Times New Roman" w:hAnsi="Times New Roman"/>
                <w:sz w:val="13"/>
              </w:rPr>
              <w:t>Foundation for image prohibition.</w:t>
            </w:r>
          </w:p>
        </w:tc>
      </w:tr>
      <w:tr>
        <w:tc>
          <w:tcPr>
            <w:tcW w:type="dxa" w:w="3561"/>
            <w:vAlign w:val="top"/>
          </w:tcPr>
          <w:p>
            <w:pPr>
              <w:spacing w:after="0" w:line="226" w:lineRule="auto"/>
            </w:pPr>
            <w:r>
              <w:rPr>
                <w:rFonts w:ascii="Times New Roman" w:hAnsi="Times New Roman"/>
                <w:sz w:val="13"/>
              </w:rPr>
              <w:t>Deut. 4:15</w:t>
            </w:r>
          </w:p>
        </w:tc>
        <w:tc>
          <w:tcPr>
            <w:tcW w:type="dxa" w:w="3561"/>
            <w:vAlign w:val="top"/>
          </w:tcPr>
          <w:p>
            <w:pPr>
              <w:spacing w:after="0" w:line="226" w:lineRule="auto"/>
            </w:pPr>
            <w:r>
              <w:rPr>
                <w:rFonts w:ascii="Times New Roman" w:hAnsi="Times New Roman"/>
                <w:sz w:val="13"/>
              </w:rPr>
              <w:t>temunah</w:t>
            </w:r>
          </w:p>
        </w:tc>
        <w:tc>
          <w:tcPr>
            <w:tcW w:type="dxa" w:w="3561"/>
            <w:vAlign w:val="top"/>
          </w:tcPr>
          <w:p>
            <w:pPr>
              <w:spacing w:after="0" w:line="226" w:lineRule="auto"/>
            </w:pPr>
            <w:r>
              <w:rPr>
                <w:rFonts w:ascii="Times New Roman" w:hAnsi="Times New Roman"/>
                <w:sz w:val="13"/>
              </w:rPr>
              <w:t>Form/likeness.</w:t>
            </w:r>
          </w:p>
        </w:tc>
      </w:tr>
      <w:tr>
        <w:tc>
          <w:tcPr>
            <w:tcW w:type="dxa" w:w="3561"/>
            <w:vAlign w:val="top"/>
          </w:tcPr>
          <w:p>
            <w:pPr>
              <w:spacing w:after="0" w:line="226" w:lineRule="auto"/>
            </w:pPr>
            <w:r>
              <w:rPr>
                <w:rFonts w:ascii="Times New Roman" w:hAnsi="Times New Roman"/>
                <w:sz w:val="13"/>
              </w:rPr>
              <w:t>Deut. 4:19</w:t>
            </w:r>
          </w:p>
        </w:tc>
        <w:tc>
          <w:tcPr>
            <w:tcW w:type="dxa" w:w="3561"/>
            <w:vAlign w:val="top"/>
          </w:tcPr>
          <w:p>
            <w:pPr>
              <w:spacing w:after="0" w:line="226" w:lineRule="auto"/>
            </w:pPr>
            <w:r>
              <w:rPr>
                <w:rFonts w:ascii="Times New Roman" w:hAnsi="Times New Roman"/>
                <w:sz w:val="13"/>
              </w:rPr>
              <w:t>heavenly host</w:t>
            </w:r>
          </w:p>
        </w:tc>
        <w:tc>
          <w:tcPr>
            <w:tcW w:type="dxa" w:w="3561"/>
            <w:vAlign w:val="top"/>
          </w:tcPr>
          <w:p>
            <w:pPr>
              <w:spacing w:after="0" w:line="226" w:lineRule="auto"/>
            </w:pPr>
            <w:r>
              <w:rPr>
                <w:rFonts w:ascii="Times New Roman" w:hAnsi="Times New Roman"/>
                <w:sz w:val="13"/>
              </w:rPr>
              <w:t>Not legitimate objects of worship.</w:t>
            </w:r>
          </w:p>
        </w:tc>
      </w:tr>
      <w:tr>
        <w:tc>
          <w:tcPr>
            <w:tcW w:type="dxa" w:w="3561"/>
            <w:vAlign w:val="top"/>
          </w:tcPr>
          <w:p>
            <w:pPr>
              <w:spacing w:after="0" w:line="226" w:lineRule="auto"/>
            </w:pPr>
            <w:r>
              <w:rPr>
                <w:rFonts w:ascii="Times New Roman" w:hAnsi="Times New Roman"/>
                <w:sz w:val="13"/>
              </w:rPr>
              <w:t>Deut. 4:20</w:t>
            </w:r>
          </w:p>
        </w:tc>
        <w:tc>
          <w:tcPr>
            <w:tcW w:type="dxa" w:w="3561"/>
            <w:vAlign w:val="top"/>
          </w:tcPr>
          <w:p>
            <w:pPr>
              <w:spacing w:after="0" w:line="226" w:lineRule="auto"/>
            </w:pPr>
            <w:r>
              <w:rPr>
                <w:rFonts w:ascii="Times New Roman" w:hAnsi="Times New Roman"/>
                <w:sz w:val="13"/>
              </w:rPr>
              <w:t>iron furnace</w:t>
            </w:r>
          </w:p>
        </w:tc>
        <w:tc>
          <w:tcPr>
            <w:tcW w:type="dxa" w:w="3561"/>
            <w:vAlign w:val="top"/>
          </w:tcPr>
          <w:p>
            <w:pPr>
              <w:spacing w:after="0" w:line="226" w:lineRule="auto"/>
            </w:pPr>
            <w:r>
              <w:rPr>
                <w:rFonts w:ascii="Times New Roman" w:hAnsi="Times New Roman"/>
                <w:sz w:val="13"/>
              </w:rPr>
              <w:t>Metaphor of Egyptian bondage.</w:t>
            </w:r>
          </w:p>
        </w:tc>
      </w:tr>
      <w:tr>
        <w:tc>
          <w:tcPr>
            <w:tcW w:type="dxa" w:w="3561"/>
            <w:vAlign w:val="top"/>
          </w:tcPr>
          <w:p>
            <w:pPr>
              <w:spacing w:after="0" w:line="226" w:lineRule="auto"/>
            </w:pPr>
            <w:r>
              <w:rPr>
                <w:rFonts w:ascii="Times New Roman" w:hAnsi="Times New Roman"/>
                <w:sz w:val="13"/>
              </w:rPr>
              <w:t>Deut. 4:24</w:t>
            </w:r>
          </w:p>
        </w:tc>
        <w:tc>
          <w:tcPr>
            <w:tcW w:type="dxa" w:w="3561"/>
            <w:vAlign w:val="top"/>
          </w:tcPr>
          <w:p>
            <w:pPr>
              <w:spacing w:after="0" w:line="226" w:lineRule="auto"/>
            </w:pPr>
            <w:r>
              <w:rPr>
                <w:rFonts w:ascii="Times New Roman" w:hAnsi="Times New Roman"/>
                <w:sz w:val="13"/>
              </w:rPr>
              <w:t>qanna</w:t>
            </w:r>
          </w:p>
        </w:tc>
        <w:tc>
          <w:tcPr>
            <w:tcW w:type="dxa" w:w="3561"/>
            <w:vAlign w:val="top"/>
          </w:tcPr>
          <w:p>
            <w:pPr>
              <w:spacing w:after="0" w:line="226" w:lineRule="auto"/>
            </w:pPr>
            <w:r>
              <w:rPr>
                <w:rFonts w:ascii="Times New Roman" w:hAnsi="Times New Roman"/>
                <w:sz w:val="13"/>
              </w:rPr>
              <w:t>Jealous/exclusively claiming covenant loyalty.</w:t>
            </w:r>
          </w:p>
        </w:tc>
      </w:tr>
      <w:tr>
        <w:tc>
          <w:tcPr>
            <w:tcW w:type="dxa" w:w="3561"/>
            <w:vAlign w:val="top"/>
          </w:tcPr>
          <w:p>
            <w:pPr>
              <w:spacing w:after="0" w:line="226" w:lineRule="auto"/>
            </w:pPr>
            <w:r>
              <w:rPr>
                <w:rFonts w:ascii="Times New Roman" w:hAnsi="Times New Roman"/>
                <w:sz w:val="13"/>
              </w:rPr>
              <w:t>Deut. 4:26</w:t>
            </w:r>
          </w:p>
        </w:tc>
        <w:tc>
          <w:tcPr>
            <w:tcW w:type="dxa" w:w="3561"/>
            <w:vAlign w:val="top"/>
          </w:tcPr>
          <w:p>
            <w:pPr>
              <w:spacing w:after="0" w:line="226" w:lineRule="auto"/>
            </w:pPr>
            <w:r>
              <w:rPr>
                <w:rFonts w:ascii="Times New Roman" w:hAnsi="Times New Roman"/>
                <w:sz w:val="13"/>
              </w:rPr>
              <w:t>heaven and earth witnesses</w:t>
            </w:r>
          </w:p>
        </w:tc>
        <w:tc>
          <w:tcPr>
            <w:tcW w:type="dxa" w:w="3561"/>
            <w:vAlign w:val="top"/>
          </w:tcPr>
          <w:p>
            <w:pPr>
              <w:spacing w:after="0" w:line="226" w:lineRule="auto"/>
            </w:pPr>
            <w:r>
              <w:rPr>
                <w:rFonts w:ascii="Times New Roman" w:hAnsi="Times New Roman"/>
                <w:sz w:val="13"/>
              </w:rPr>
              <w:t>Covenant lawsuit language.</w:t>
            </w:r>
          </w:p>
        </w:tc>
      </w:tr>
      <w:tr>
        <w:tc>
          <w:tcPr>
            <w:tcW w:type="dxa" w:w="3561"/>
            <w:vAlign w:val="top"/>
          </w:tcPr>
          <w:p>
            <w:pPr>
              <w:spacing w:after="0" w:line="226" w:lineRule="auto"/>
            </w:pPr>
            <w:r>
              <w:rPr>
                <w:rFonts w:ascii="Times New Roman" w:hAnsi="Times New Roman"/>
                <w:sz w:val="13"/>
              </w:rPr>
              <w:t>Deut. 4:29</w:t>
            </w:r>
          </w:p>
        </w:tc>
        <w:tc>
          <w:tcPr>
            <w:tcW w:type="dxa" w:w="3561"/>
            <w:vAlign w:val="top"/>
          </w:tcPr>
          <w:p>
            <w:pPr>
              <w:spacing w:after="0" w:line="226" w:lineRule="auto"/>
            </w:pPr>
            <w:r>
              <w:rPr>
                <w:rFonts w:ascii="Times New Roman" w:hAnsi="Times New Roman"/>
                <w:sz w:val="13"/>
              </w:rPr>
              <w:t>seek with heart and nephesh</w:t>
            </w:r>
          </w:p>
        </w:tc>
        <w:tc>
          <w:tcPr>
            <w:tcW w:type="dxa" w:w="3561"/>
            <w:vAlign w:val="top"/>
          </w:tcPr>
          <w:p>
            <w:pPr>
              <w:spacing w:after="0" w:line="226" w:lineRule="auto"/>
            </w:pPr>
            <w:r>
              <w:rPr>
                <w:rFonts w:ascii="Times New Roman" w:hAnsi="Times New Roman"/>
                <w:sz w:val="13"/>
              </w:rPr>
              <w:t>Whole-person return.</w:t>
            </w:r>
          </w:p>
        </w:tc>
      </w:tr>
      <w:tr>
        <w:tc>
          <w:tcPr>
            <w:tcW w:type="dxa" w:w="3561"/>
            <w:vAlign w:val="top"/>
          </w:tcPr>
          <w:p>
            <w:pPr>
              <w:spacing w:after="0" w:line="226" w:lineRule="auto"/>
            </w:pPr>
            <w:r>
              <w:rPr>
                <w:rFonts w:ascii="Times New Roman" w:hAnsi="Times New Roman"/>
                <w:sz w:val="13"/>
              </w:rPr>
              <w:t>Deut. 4:30</w:t>
            </w:r>
          </w:p>
        </w:tc>
        <w:tc>
          <w:tcPr>
            <w:tcW w:type="dxa" w:w="3561"/>
            <w:vAlign w:val="top"/>
          </w:tcPr>
          <w:p>
            <w:pPr>
              <w:spacing w:after="0" w:line="226" w:lineRule="auto"/>
            </w:pPr>
            <w:r>
              <w:rPr>
                <w:rFonts w:ascii="Times New Roman" w:hAnsi="Times New Roman"/>
                <w:sz w:val="13"/>
              </w:rPr>
              <w:t>latter days</w:t>
            </w:r>
          </w:p>
        </w:tc>
        <w:tc>
          <w:tcPr>
            <w:tcW w:type="dxa" w:w="3561"/>
            <w:vAlign w:val="top"/>
          </w:tcPr>
          <w:p>
            <w:pPr>
              <w:spacing w:after="0" w:line="226" w:lineRule="auto"/>
            </w:pPr>
            <w:r>
              <w:rPr>
                <w:rFonts w:ascii="Times New Roman" w:hAnsi="Times New Roman"/>
                <w:sz w:val="13"/>
              </w:rPr>
              <w:t>Future tribulation/return horizon.</w:t>
            </w:r>
          </w:p>
        </w:tc>
      </w:tr>
      <w:tr>
        <w:tc>
          <w:tcPr>
            <w:tcW w:type="dxa" w:w="3561"/>
            <w:vAlign w:val="top"/>
          </w:tcPr>
          <w:p>
            <w:pPr>
              <w:spacing w:after="0" w:line="226" w:lineRule="auto"/>
            </w:pPr>
            <w:r>
              <w:rPr>
                <w:rFonts w:ascii="Times New Roman" w:hAnsi="Times New Roman"/>
                <w:sz w:val="13"/>
              </w:rPr>
              <w:t>Deut. 4:31</w:t>
            </w:r>
          </w:p>
        </w:tc>
        <w:tc>
          <w:tcPr>
            <w:tcW w:type="dxa" w:w="3561"/>
            <w:vAlign w:val="top"/>
          </w:tcPr>
          <w:p>
            <w:pPr>
              <w:spacing w:after="0" w:line="226" w:lineRule="auto"/>
            </w:pPr>
            <w:r>
              <w:rPr>
                <w:rFonts w:ascii="Times New Roman" w:hAnsi="Times New Roman"/>
                <w:sz w:val="13"/>
              </w:rPr>
              <w:t>merciful God</w:t>
            </w:r>
          </w:p>
        </w:tc>
        <w:tc>
          <w:tcPr>
            <w:tcW w:type="dxa" w:w="3561"/>
            <w:vAlign w:val="top"/>
          </w:tcPr>
          <w:p>
            <w:pPr>
              <w:spacing w:after="0" w:line="226" w:lineRule="auto"/>
            </w:pPr>
            <w:r>
              <w:rPr>
                <w:rFonts w:ascii="Times New Roman" w:hAnsi="Times New Roman"/>
                <w:sz w:val="13"/>
              </w:rPr>
              <w:t>Covenant not forgotten.</w:t>
            </w:r>
          </w:p>
        </w:tc>
      </w:tr>
      <w:tr>
        <w:tc>
          <w:tcPr>
            <w:tcW w:type="dxa" w:w="3561"/>
            <w:vAlign w:val="top"/>
          </w:tcPr>
          <w:p>
            <w:pPr>
              <w:spacing w:after="0" w:line="226" w:lineRule="auto"/>
            </w:pPr>
            <w:r>
              <w:rPr>
                <w:rFonts w:ascii="Times New Roman" w:hAnsi="Times New Roman"/>
                <w:sz w:val="13"/>
              </w:rPr>
              <w:t>Deut. 4:35,39</w:t>
            </w:r>
          </w:p>
        </w:tc>
        <w:tc>
          <w:tcPr>
            <w:tcW w:type="dxa" w:w="3561"/>
            <w:vAlign w:val="top"/>
          </w:tcPr>
          <w:p>
            <w:pPr>
              <w:spacing w:after="0" w:line="226" w:lineRule="auto"/>
            </w:pPr>
            <w:r>
              <w:rPr>
                <w:rFonts w:ascii="Times New Roman" w:hAnsi="Times New Roman"/>
                <w:sz w:val="13"/>
              </w:rPr>
              <w:t>Yahweh alone God</w:t>
            </w:r>
          </w:p>
        </w:tc>
        <w:tc>
          <w:tcPr>
            <w:tcW w:type="dxa" w:w="3561"/>
            <w:vAlign w:val="top"/>
          </w:tcPr>
          <w:p>
            <w:pPr>
              <w:spacing w:after="0" w:line="226" w:lineRule="auto"/>
            </w:pPr>
            <w:r>
              <w:rPr>
                <w:rFonts w:ascii="Times New Roman" w:hAnsi="Times New Roman"/>
                <w:sz w:val="13"/>
              </w:rPr>
              <w:t>Explicit monotheistic confession.</w:t>
            </w:r>
          </w:p>
        </w:tc>
      </w:tr>
      <w:tr>
        <w:tc>
          <w:tcPr>
            <w:tcW w:type="dxa" w:w="3561"/>
            <w:vAlign w:val="top"/>
          </w:tcPr>
          <w:p>
            <w:pPr>
              <w:spacing w:after="0" w:line="226" w:lineRule="auto"/>
            </w:pPr>
            <w:r>
              <w:rPr>
                <w:rFonts w:ascii="Times New Roman" w:hAnsi="Times New Roman"/>
                <w:sz w:val="13"/>
              </w:rPr>
              <w:t>Deut. 4:41–43</w:t>
            </w:r>
          </w:p>
        </w:tc>
        <w:tc>
          <w:tcPr>
            <w:tcW w:type="dxa" w:w="3561"/>
            <w:vAlign w:val="top"/>
          </w:tcPr>
          <w:p>
            <w:pPr>
              <w:spacing w:after="0" w:line="226" w:lineRule="auto"/>
            </w:pPr>
            <w:r>
              <w:rPr>
                <w:rFonts w:ascii="Times New Roman" w:hAnsi="Times New Roman"/>
                <w:sz w:val="13"/>
              </w:rPr>
              <w:t>Bezer / Ramoth / Golan</w:t>
            </w:r>
          </w:p>
        </w:tc>
        <w:tc>
          <w:tcPr>
            <w:tcW w:type="dxa" w:w="3561"/>
            <w:vAlign w:val="top"/>
          </w:tcPr>
          <w:p>
            <w:pPr>
              <w:spacing w:after="0" w:line="226" w:lineRule="auto"/>
            </w:pPr>
            <w:r>
              <w:rPr>
                <w:rFonts w:ascii="Times New Roman" w:hAnsi="Times New Roman"/>
                <w:sz w:val="13"/>
              </w:rPr>
              <w:t>Three east-Jordan refuge cities.</w:t>
            </w:r>
          </w:p>
        </w:tc>
      </w:tr>
      <w:tr>
        <w:tc>
          <w:tcPr>
            <w:tcW w:type="dxa" w:w="3561"/>
            <w:vAlign w:val="top"/>
          </w:tcPr>
          <w:p>
            <w:pPr>
              <w:spacing w:after="0" w:line="226" w:lineRule="auto"/>
            </w:pPr>
            <w:r>
              <w:rPr>
                <w:rFonts w:ascii="Times New Roman" w:hAnsi="Times New Roman"/>
                <w:sz w:val="13"/>
              </w:rPr>
              <w:t>Deut. 4:44–49</w:t>
            </w:r>
          </w:p>
        </w:tc>
        <w:tc>
          <w:tcPr>
            <w:tcW w:type="dxa" w:w="3561"/>
            <w:vAlign w:val="top"/>
          </w:tcPr>
          <w:p>
            <w:pPr>
              <w:spacing w:after="0" w:line="226" w:lineRule="auto"/>
            </w:pPr>
            <w:r>
              <w:rPr>
                <w:rFonts w:ascii="Times New Roman" w:hAnsi="Times New Roman"/>
                <w:sz w:val="13"/>
              </w:rPr>
              <w:t>second discourse setting</w:t>
            </w:r>
          </w:p>
        </w:tc>
        <w:tc>
          <w:tcPr>
            <w:tcW w:type="dxa" w:w="3561"/>
            <w:vAlign w:val="top"/>
          </w:tcPr>
          <w:p>
            <w:pPr>
              <w:spacing w:after="0" w:line="226" w:lineRule="auto"/>
            </w:pPr>
            <w:r>
              <w:rPr>
                <w:rFonts w:ascii="Times New Roman" w:hAnsi="Times New Roman"/>
                <w:sz w:val="13"/>
              </w:rPr>
              <w:t>Sihon/Og victories frame renewed law exposition.</w:t>
            </w:r>
          </w:p>
        </w:tc>
      </w:tr>
    </w:tbl>
    <w:p>
      <w:pPr>
        <w:pStyle w:val="Heading1"/>
      </w:pPr>
      <w:r>
        <w:t>RESIDUAL UNCERTAINTIES</w:t>
      </w:r>
    </w:p>
    <w:p>
      <w:pPr/>
      <w:r>
        <w:rPr>
          <w:i w:val="0"/>
        </w:rPr>
        <w:t>The exact interpretation of the heavenly-host “allotment” in verse 19 and some discourse-boundary details can be expressed differently, but neither uncertainty affects the central prohibition of idolatry or the confession that Yahweh alone is God. Mansfield’s angel-reading of `Elohim` in verse 7 has been explicitly corrected.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9"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6" w:after="12"/>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30" w:after="12"/>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