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5</w:t>
      </w:r>
    </w:p>
    <w:p>
      <w:pPr>
        <w:pStyle w:val="Subtitle"/>
      </w:pPr>
      <w:r>
        <w:t>THE COVENANT AT HOREB • THE TEN WORDS • REDEMPTION BEFORE COMMANDMENT • SABBATH AND EXODUS • MOSES BETWEEN YAHWEH AND ISRAEL • “O THAT THERE WERE SUCH AN HEART”</w:t>
      </w:r>
    </w:p>
    <w:p>
      <w:pPr/>
      <w:r>
        <w:rPr>
          <w:i/>
        </w:rPr>
        <w:t>H. P. Mansfield Bible notes — checked and arranged in verse-by-verse Expositor style</w:t>
      </w:r>
    </w:p>
    <w:p>
      <w:pPr/>
      <w:r>
        <w:rPr>
          <w:i w:val="0"/>
        </w:rPr>
        <w:t>Source: HPB 04-Deu01-Jud04.PDF pp. 11–13; cross-checked with Mansfield’s Deuteronomy Expositor Chapter 5 and Exodus 20.</w:t>
      </w:r>
    </w:p>
    <w:p>
      <w:pPr>
        <w:pStyle w:val="Heading1"/>
      </w:pPr>
      <w:r>
        <w:t>CHAPTER OVERVIEW</w:t>
      </w:r>
    </w:p>
    <w:p>
      <w:pPr/>
      <w:r>
        <w:rPr>
          <w:i w:val="0"/>
        </w:rPr>
        <w:t>Moses restates the Horeb covenant to the generation on the plains of Moab. Covenant responsibility is national and living: Israel must hear, learn, keep and do rather than treat Sinai as remote ancestral history.</w:t>
      </w:r>
    </w:p>
    <w:p>
      <w:pPr/>
      <w:r>
        <w:rPr>
          <w:i w:val="0"/>
        </w:rPr>
        <w:t>The Ten Words begin from redemption—Yahweh brought Israel out of Egypt—before setting out covenant obligations. The chapter ends not merely with written law but with Yahweh’s desire for a heart that continually fears and obeys.</w:t>
      </w:r>
    </w:p>
    <w:p>
      <w:pPr>
        <w:pStyle w:val="Heading1"/>
      </w:pPr>
      <w:r>
        <w:t>THE COVENANT ADDRESSED TO THE PRESENT — DEUTERONOMY 5:1–5</w:t>
      </w:r>
    </w:p>
    <w:p>
      <w:pPr>
        <w:pStyle w:val="Heading2"/>
      </w:pPr>
      <w:r>
        <w:t>Deuteronomy 5:1 — hear, learn, keep and do</w:t>
      </w:r>
    </w:p>
    <w:p>
      <w:pPr/>
      <w:r>
        <w:rPr>
          <w:i w:val="0"/>
        </w:rPr>
        <w:t>Moses calls Israel to hear the statutes and judgments, learn them, guard them and do them. Revelation is intended for practiced obedience.</w:t>
      </w:r>
    </w:p>
    <w:p>
      <w:pPr>
        <w:pStyle w:val="Heading2"/>
      </w:pPr>
      <w:r>
        <w:t>Deuteronomy 5:2–3 — “not with our fathers, but with us”</w:t>
      </w:r>
    </w:p>
    <w:p>
      <w:pPr/>
      <w:r>
        <w:rPr>
          <w:i w:val="0"/>
        </w:rPr>
        <w:t>Yahweh made the Horeb covenant with Israel as a nation. “Our fathers” most naturally reaches back beyond the Horeb generation—especially to the patriarchal ancestors—while “us” stresses that the covenant remains binding upon the living Israel now addressed.</w:t>
      </w:r>
    </w:p>
    <w:p>
      <w:pPr/>
      <w:r>
        <w:rPr>
          <w:i w:val="0"/>
        </w:rPr>
        <w:t>The statement should not be forced to mean that every individual listener had personally stood at Sinai; many were children or were born later. Moses speaks corporately to the covenant nation.</w:t>
      </w:r>
    </w:p>
    <w:p>
      <w:pPr>
        <w:pStyle w:val="Heading2"/>
      </w:pPr>
      <w:r>
        <w:t>Deuteronomy 5:4–5 — face to face, yet Moses mediates</w:t>
      </w:r>
    </w:p>
    <w:p>
      <w:pPr/>
      <w:r>
        <w:rPr>
          <w:i w:val="0"/>
        </w:rPr>
        <w:t>Yahweh spoke “face to face” with Israel from the fire, meaning direct, unmistakable covenant revelation to the nation. At the same time Moses stood between Yahweh and Israel to declare the word because the people feared the fire.</w:t>
      </w:r>
    </w:p>
    <w:p>
      <w:pPr/>
      <w:r>
        <w:rPr>
          <w:i w:val="0"/>
        </w:rPr>
        <w:t>There is no contradiction: the nation directly heard the Divine voice, then requested mediated communication for what followed.</w:t>
      </w:r>
    </w:p>
    <w:p>
      <w:pPr>
        <w:pStyle w:val="Heading1"/>
      </w:pPr>
      <w:r>
        <w:t>THE TEN WORDS — DEUTERONOMY 5:6–21</w:t>
      </w:r>
    </w:p>
    <w:p>
      <w:pPr>
        <w:pStyle w:val="Heading2"/>
      </w:pPr>
      <w:r>
        <w:t>Deuteronomy 5:6 — redemption comes first</w:t>
      </w:r>
    </w:p>
    <w:p>
      <w:pPr/>
      <w:r>
        <w:rPr>
          <w:i w:val="0"/>
        </w:rPr>
        <w:t>“I am Yahweh thy God, which brought thee out of the land of Egypt, from the house of bondage.” Covenant command is addressed to a redeemed people; obedience is response to deliverance, not the means of achieving the Exodus.</w:t>
      </w:r>
    </w:p>
    <w:p>
      <w:pPr>
        <w:pStyle w:val="Heading2"/>
      </w:pPr>
      <w:r>
        <w:t>Deuteronomy 5:7–10 — exclusive worship and images</w:t>
      </w:r>
    </w:p>
    <w:p>
      <w:pPr/>
      <w:r>
        <w:rPr>
          <w:i w:val="0"/>
        </w:rPr>
        <w:t>No rival god may stand before Yahweh. Israel must not make a carved image or likeness for the purpose of bowing down to and serving it.</w:t>
      </w:r>
    </w:p>
    <w:p>
      <w:pPr/>
      <w:r>
        <w:rPr>
          <w:i w:val="0"/>
        </w:rPr>
        <w:t>The prohibition is against idolatrous representation and worship; it is not a blanket ban on all visual art, since the tabernacle itself contained Divinely commanded artistic forms.</w:t>
      </w:r>
    </w:p>
    <w:p>
      <w:pPr/>
      <w:r>
        <w:rPr>
          <w:i w:val="0"/>
        </w:rPr>
        <w:t>The warning about consequences to the third and fourth generation is explicitly “of them that hate me,” while covenant love extends to thousands who love and keep His commands. Ezekiel 18 preserves individual moral accountability even where family sin creates generational consequences.</w:t>
      </w:r>
    </w:p>
    <w:p>
      <w:pPr>
        <w:pStyle w:val="Heading2"/>
      </w:pPr>
      <w:r>
        <w:t>Deuteronomy 5:11 — Yahweh’s Name not borne emptily</w:t>
      </w:r>
    </w:p>
    <w:p>
      <w:pPr/>
      <w:r>
        <w:rPr>
          <w:i w:val="0"/>
        </w:rPr>
        <w:t>Israel must not take/bear Yahweh’s Name lashshav’, for emptiness, falsehood or vanity. The command reaches beyond casual pronunciation to false or empty use of the Divine Name and the covenant identity attached to it.</w:t>
      </w:r>
    </w:p>
    <w:p>
      <w:pPr>
        <w:pStyle w:val="Heading2"/>
      </w:pPr>
      <w:r>
        <w:t>Deuteronomy 5:12–15 — Sabbath grounded in redemption</w:t>
      </w:r>
    </w:p>
    <w:p>
      <w:pPr/>
      <w:r>
        <w:rPr>
          <w:i w:val="0"/>
        </w:rPr>
        <w:t>Israel must guard the Sabbath and cease from ordinary labour, including servants and resident stranger. Deuteronomy gives a special rationale: remember slavery in Egypt and Yahweh’s mighty deliverance.</w:t>
      </w:r>
    </w:p>
    <w:p>
      <w:pPr/>
      <w:r>
        <w:rPr>
          <w:i w:val="0"/>
        </w:rPr>
        <w:t>Exodus 20:11 grounds the Sabbath additionally in creation. The two accounts give complementary theological reasons—creation and redemption—not contradictory commands.</w:t>
      </w:r>
    </w:p>
    <w:p>
      <w:pPr>
        <w:pStyle w:val="Heading2"/>
      </w:pPr>
      <w:r>
        <w:t>Deuteronomy 5:16 — honour father and mother</w:t>
      </w:r>
    </w:p>
    <w:p>
      <w:pPr/>
      <w:r>
        <w:rPr>
          <w:i w:val="0"/>
        </w:rPr>
        <w:t>The command promises prolonged days and adds “that it may go well with thee.” Ephesians 6:2–3 later cites the command as the first commandment with promise.</w:t>
      </w:r>
    </w:p>
    <w:p>
      <w:pPr>
        <w:pStyle w:val="Heading2"/>
      </w:pPr>
      <w:r>
        <w:t>Deuteronomy 5:17–20 — life, marriage, property and truth</w:t>
      </w:r>
    </w:p>
    <w:p>
      <w:pPr/>
      <w:r>
        <w:rPr>
          <w:i w:val="0"/>
        </w:rPr>
        <w:t>Murder, adultery, theft and false witness are forbidden. Covenant devotion toward Yahweh is inseparable from justice toward neighbour.</w:t>
      </w:r>
    </w:p>
    <w:p>
      <w:pPr>
        <w:pStyle w:val="Heading2"/>
      </w:pPr>
      <w:r>
        <w:t>Deuteronomy 5:21 — coveting</w:t>
      </w:r>
    </w:p>
    <w:p>
      <w:pPr/>
      <w:r>
        <w:rPr>
          <w:i w:val="0"/>
        </w:rPr>
        <w:t>Deuteronomy orders wife and house/property differently from Exodus 20:17 and uses two desire verbs. The moral substance is unchanged: inward grasping for what belongs to another is forbidden.</w:t>
      </w:r>
    </w:p>
    <w:p>
      <w:pPr/>
      <w:r>
        <w:rPr>
          <w:i w:val="0"/>
        </w:rPr>
        <w:t>The variation shows a faithful restatement rather than a mechanical duplicate.</w:t>
      </w:r>
    </w:p>
    <w:p>
      <w:pPr>
        <w:pStyle w:val="Heading1"/>
      </w:pPr>
      <w:r>
        <w:t>THE WRITTEN TESTIMONY — DEUTERONOMY 5:22</w:t>
      </w:r>
    </w:p>
    <w:p>
      <w:pPr>
        <w:pStyle w:val="Heading2"/>
      </w:pPr>
      <w:r>
        <w:t>Deuteronomy 5:22 — “and he added no more”</w:t>
      </w:r>
    </w:p>
    <w:p>
      <w:pPr/>
      <w:r>
        <w:rPr>
          <w:i w:val="0"/>
        </w:rPr>
        <w:t>Yahweh speaks these words to the assembly from fire, cloud and thick darkness, then writes them on two stone tablets.</w:t>
      </w:r>
    </w:p>
    <w:p>
      <w:pPr/>
      <w:r>
        <w:rPr>
          <w:i w:val="0"/>
        </w:rPr>
        <w:t>“Added no more” means that the Decalogue revelation to the whole assembly ended there; it cannot mean Yahweh never gave further revelation, because the chapter immediately records further Divine instruction through Moses.</w:t>
      </w:r>
    </w:p>
    <w:p>
      <w:pPr>
        <w:pStyle w:val="Heading1"/>
      </w:pPr>
      <w:r>
        <w:t>ISRAEL ASKS FOR MEDIATION — DEUTERONOMY 5:23–27</w:t>
      </w:r>
    </w:p>
    <w:p>
      <w:pPr>
        <w:pStyle w:val="Heading2"/>
      </w:pPr>
      <w:r>
        <w:t>Deuteronomy 5:23–26 — the living God has spoken</w:t>
      </w:r>
    </w:p>
    <w:p>
      <w:pPr/>
      <w:r>
        <w:rPr>
          <w:i w:val="0"/>
        </w:rPr>
        <w:t>Tribal heads and elders acknowledge that they heard the living God and survived, yet fear death if direct exposure to the fire continues.</w:t>
      </w:r>
    </w:p>
    <w:p>
      <w:pPr>
        <w:pStyle w:val="Heading2"/>
      </w:pPr>
      <w:r>
        <w:t>Deuteronomy 5:27 — “speak thou unto us”</w:t>
      </w:r>
    </w:p>
    <w:p>
      <w:pPr/>
      <w:r>
        <w:rPr>
          <w:i w:val="0"/>
        </w:rPr>
        <w:t>They ask Moses to hear all Yahweh says and relay it; they promise, “we will hear it, and do it.”</w:t>
      </w:r>
    </w:p>
    <w:p>
      <w:pPr/>
      <w:r>
        <w:rPr>
          <w:i w:val="0"/>
        </w:rPr>
        <w:t>Moses’ mediation anticipates the broader biblical principle that access to Divine revelation is granted through an appointed mediator, while the direct New Testament fulfilment of the prophet-like-Moses promise is developed later in Deuteronomy 18.</w:t>
      </w:r>
    </w:p>
    <w:p>
      <w:pPr>
        <w:pStyle w:val="Heading1"/>
      </w:pPr>
      <w:r>
        <w:t>YAHWEH SEEKS THE HEART — DEUTERONOMY 5:28–33</w:t>
      </w:r>
    </w:p>
    <w:p>
      <w:pPr>
        <w:pStyle w:val="Heading2"/>
      </w:pPr>
      <w:r>
        <w:t>Deuteronomy 5:28–29 — words approved, enduring heart lacking</w:t>
      </w:r>
    </w:p>
    <w:p>
      <w:pPr/>
      <w:r>
        <w:rPr>
          <w:i w:val="0"/>
        </w:rPr>
        <w:t>Yahweh says the people have spoken well, then laments, “O that there were such an heart in them” to fear Him and keep His commands always.</w:t>
      </w:r>
    </w:p>
    <w:p>
      <w:pPr/>
      <w:r>
        <w:rPr>
          <w:i w:val="0"/>
        </w:rPr>
        <w:t>The expression communicates covenant desire and exposes the gap between verbal promise and settled character. It should not be read as if Yahweh were ignorant of the human heart or powerless to know what would happen.</w:t>
      </w:r>
    </w:p>
    <w:p>
      <w:pPr>
        <w:pStyle w:val="Heading2"/>
      </w:pPr>
      <w:r>
        <w:t>Deuteronomy 5:30–31 — Moses remains to receive instruction</w:t>
      </w:r>
    </w:p>
    <w:p>
      <w:pPr/>
      <w:r>
        <w:rPr>
          <w:i w:val="0"/>
        </w:rPr>
        <w:t>The people return to their tents while Moses remains near Yahweh to receive commandments, statutes and judgments for life in the land.</w:t>
      </w:r>
    </w:p>
    <w:p>
      <w:pPr>
        <w:pStyle w:val="Heading2"/>
      </w:pPr>
      <w:r>
        <w:t>Deuteronomy 5:32–33 — no turning aside</w:t>
      </w:r>
    </w:p>
    <w:p>
      <w:pPr/>
      <w:r>
        <w:rPr>
          <w:i w:val="0"/>
        </w:rPr>
        <w:t>Israel must walk in all Yahweh’s commanded way without turning right or left, so that covenant life and well-being may continue in the land.</w:t>
      </w:r>
    </w:p>
    <w:p>
      <w:pPr>
        <w:pStyle w:val="Heading1"/>
      </w:pPr>
      <w:r>
        <w:t>PRINCIPAL THEMES</w:t>
      </w:r>
    </w:p>
    <w:p>
      <w:pPr>
        <w:ind w:left="259" w:hanging="202"/>
      </w:pPr>
      <w:r>
        <w:rPr>
          <w:b/>
        </w:rPr>
        <w:t xml:space="preserve">• </w:t>
      </w:r>
      <w:r>
        <w:t>The Horeb covenant is national and remains binding on the living generation.</w:t>
      </w:r>
    </w:p>
    <w:p>
      <w:pPr>
        <w:ind w:left="259" w:hanging="202"/>
      </w:pPr>
      <w:r>
        <w:rPr>
          <w:b/>
        </w:rPr>
        <w:t xml:space="preserve">• </w:t>
      </w:r>
      <w:r>
        <w:t>“Our fathers” should not be made to mean the Horeb generation in a way that contradicts the verse’s rhetorical contrast.</w:t>
      </w:r>
    </w:p>
    <w:p>
      <w:pPr>
        <w:ind w:left="259" w:hanging="202"/>
      </w:pPr>
      <w:r>
        <w:rPr>
          <w:b/>
        </w:rPr>
        <w:t xml:space="preserve">• </w:t>
      </w:r>
      <w:r>
        <w:t>Direct national revelation and Mosaic mediation coexist.</w:t>
      </w:r>
    </w:p>
    <w:p>
      <w:pPr>
        <w:ind w:left="259" w:hanging="202"/>
      </w:pPr>
      <w:r>
        <w:rPr>
          <w:b/>
        </w:rPr>
        <w:t xml:space="preserve">• </w:t>
      </w:r>
      <w:r>
        <w:t>The Decalogue begins from grace already shown in the Exodus.</w:t>
      </w:r>
    </w:p>
    <w:p>
      <w:pPr>
        <w:ind w:left="259" w:hanging="202"/>
      </w:pPr>
      <w:r>
        <w:rPr>
          <w:b/>
        </w:rPr>
        <w:t xml:space="preserve">• </w:t>
      </w:r>
      <w:r>
        <w:t>The image command forbids idolatrous representation/worship, not every artistic image.</w:t>
      </w:r>
    </w:p>
    <w:p>
      <w:pPr>
        <w:ind w:left="259" w:hanging="202"/>
      </w:pPr>
      <w:r>
        <w:rPr>
          <w:b/>
        </w:rPr>
        <w:t xml:space="preserve">• </w:t>
      </w:r>
      <w:r>
        <w:t>Generational consequences do not cancel individual moral accountability.</w:t>
      </w:r>
    </w:p>
    <w:p>
      <w:pPr>
        <w:ind w:left="259" w:hanging="202"/>
      </w:pPr>
      <w:r>
        <w:rPr>
          <w:b/>
        </w:rPr>
        <w:t xml:space="preserve">• </w:t>
      </w:r>
      <w:r>
        <w:t>Deuteronomy and Exodus give complementary Sabbath rationales: redemption and creation.</w:t>
      </w:r>
    </w:p>
    <w:p>
      <w:pPr>
        <w:ind w:left="259" w:hanging="202"/>
      </w:pPr>
      <w:r>
        <w:rPr>
          <w:b/>
        </w:rPr>
        <w:t xml:space="preserve">• </w:t>
      </w:r>
      <w:r>
        <w:t>Variation in the coveting command does not change its moral content.</w:t>
      </w:r>
    </w:p>
    <w:p>
      <w:pPr>
        <w:ind w:left="259" w:hanging="202"/>
      </w:pPr>
      <w:r>
        <w:rPr>
          <w:b/>
        </w:rPr>
        <w:t xml:space="preserve">• </w:t>
      </w:r>
      <w:r>
        <w:t>“Added no more” ends the public Decalogue utterance, not all later revelation.</w:t>
      </w:r>
    </w:p>
    <w:p>
      <w:pPr>
        <w:ind w:left="259" w:hanging="202"/>
      </w:pPr>
      <w:r>
        <w:rPr>
          <w:b/>
        </w:rPr>
        <w:t xml:space="preserve">• </w:t>
      </w:r>
      <w:r>
        <w:t>Yahweh’s concern is finally the enduring heart, not verbal assent alone.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5:1</w:t>
            </w:r>
          </w:p>
        </w:tc>
        <w:tc>
          <w:tcPr>
            <w:tcW w:type="dxa" w:w="3561"/>
            <w:vAlign w:val="top"/>
          </w:tcPr>
          <w:p>
            <w:pPr>
              <w:spacing w:after="0" w:line="223" w:lineRule="auto"/>
            </w:pPr>
            <w:r>
              <w:rPr>
                <w:rFonts w:ascii="Times New Roman" w:hAnsi="Times New Roman"/>
                <w:sz w:val="13"/>
              </w:rPr>
              <w:t>hear / learn / keep / do</w:t>
            </w:r>
          </w:p>
        </w:tc>
        <w:tc>
          <w:tcPr>
            <w:tcW w:type="dxa" w:w="3561"/>
            <w:vAlign w:val="top"/>
          </w:tcPr>
          <w:p>
            <w:pPr>
              <w:spacing w:after="0" w:line="223" w:lineRule="auto"/>
            </w:pPr>
            <w:r>
              <w:rPr>
                <w:rFonts w:ascii="Times New Roman" w:hAnsi="Times New Roman"/>
                <w:sz w:val="13"/>
              </w:rPr>
              <w:t>Fourfold covenant response.</w:t>
            </w:r>
          </w:p>
        </w:tc>
      </w:tr>
      <w:tr>
        <w:tc>
          <w:tcPr>
            <w:tcW w:type="dxa" w:w="3561"/>
            <w:vAlign w:val="top"/>
          </w:tcPr>
          <w:p>
            <w:pPr>
              <w:spacing w:after="0" w:line="223" w:lineRule="auto"/>
            </w:pPr>
            <w:r>
              <w:rPr>
                <w:rFonts w:ascii="Times New Roman" w:hAnsi="Times New Roman"/>
                <w:sz w:val="13"/>
              </w:rPr>
              <w:t>Deut. 5:2–3</w:t>
            </w:r>
          </w:p>
        </w:tc>
        <w:tc>
          <w:tcPr>
            <w:tcW w:type="dxa" w:w="3561"/>
            <w:vAlign w:val="top"/>
          </w:tcPr>
          <w:p>
            <w:pPr>
              <w:spacing w:after="0" w:line="223" w:lineRule="auto"/>
            </w:pPr>
            <w:r>
              <w:rPr>
                <w:rFonts w:ascii="Times New Roman" w:hAnsi="Times New Roman"/>
                <w:sz w:val="13"/>
              </w:rPr>
              <w:t>Horeb covenant with ‘us’</w:t>
            </w:r>
          </w:p>
        </w:tc>
        <w:tc>
          <w:tcPr>
            <w:tcW w:type="dxa" w:w="3561"/>
            <w:vAlign w:val="top"/>
          </w:tcPr>
          <w:p>
            <w:pPr>
              <w:spacing w:after="0" w:line="223" w:lineRule="auto"/>
            </w:pPr>
            <w:r>
              <w:rPr>
                <w:rFonts w:ascii="Times New Roman" w:hAnsi="Times New Roman"/>
                <w:sz w:val="13"/>
              </w:rPr>
              <w:t>National covenant solidarity.</w:t>
            </w:r>
          </w:p>
        </w:tc>
      </w:tr>
      <w:tr>
        <w:tc>
          <w:tcPr>
            <w:tcW w:type="dxa" w:w="3561"/>
            <w:vAlign w:val="top"/>
          </w:tcPr>
          <w:p>
            <w:pPr>
              <w:spacing w:after="0" w:line="223" w:lineRule="auto"/>
            </w:pPr>
            <w:r>
              <w:rPr>
                <w:rFonts w:ascii="Times New Roman" w:hAnsi="Times New Roman"/>
                <w:sz w:val="13"/>
              </w:rPr>
              <w:t>Deut. 5:3</w:t>
            </w:r>
          </w:p>
        </w:tc>
        <w:tc>
          <w:tcPr>
            <w:tcW w:type="dxa" w:w="3561"/>
            <w:vAlign w:val="top"/>
          </w:tcPr>
          <w:p>
            <w:pPr>
              <w:spacing w:after="0" w:line="223" w:lineRule="auto"/>
            </w:pPr>
            <w:r>
              <w:rPr>
                <w:rFonts w:ascii="Times New Roman" w:hAnsi="Times New Roman"/>
                <w:sz w:val="13"/>
              </w:rPr>
              <w:t>‘our fathers’</w:t>
            </w:r>
          </w:p>
        </w:tc>
        <w:tc>
          <w:tcPr>
            <w:tcW w:type="dxa" w:w="3561"/>
            <w:vAlign w:val="top"/>
          </w:tcPr>
          <w:p>
            <w:pPr>
              <w:spacing w:after="0" w:line="223" w:lineRule="auto"/>
            </w:pPr>
            <w:r>
              <w:rPr>
                <w:rFonts w:ascii="Times New Roman" w:hAnsi="Times New Roman"/>
                <w:sz w:val="13"/>
              </w:rPr>
              <w:t>Best read as earlier ancestors/patriarchs in contrast to Horeb covenant.</w:t>
            </w:r>
          </w:p>
        </w:tc>
      </w:tr>
      <w:tr>
        <w:tc>
          <w:tcPr>
            <w:tcW w:type="dxa" w:w="3561"/>
            <w:vAlign w:val="top"/>
          </w:tcPr>
          <w:p>
            <w:pPr>
              <w:spacing w:after="0" w:line="223" w:lineRule="auto"/>
            </w:pPr>
            <w:r>
              <w:rPr>
                <w:rFonts w:ascii="Times New Roman" w:hAnsi="Times New Roman"/>
                <w:sz w:val="13"/>
              </w:rPr>
              <w:t>Deut. 5:4–5</w:t>
            </w:r>
          </w:p>
        </w:tc>
        <w:tc>
          <w:tcPr>
            <w:tcW w:type="dxa" w:w="3561"/>
            <w:vAlign w:val="top"/>
          </w:tcPr>
          <w:p>
            <w:pPr>
              <w:spacing w:after="0" w:line="223" w:lineRule="auto"/>
            </w:pPr>
            <w:r>
              <w:rPr>
                <w:rFonts w:ascii="Times New Roman" w:hAnsi="Times New Roman"/>
                <w:sz w:val="13"/>
              </w:rPr>
              <w:t>face to face + mediator</w:t>
            </w:r>
          </w:p>
        </w:tc>
        <w:tc>
          <w:tcPr>
            <w:tcW w:type="dxa" w:w="3561"/>
            <w:vAlign w:val="top"/>
          </w:tcPr>
          <w:p>
            <w:pPr>
              <w:spacing w:after="0" w:line="223" w:lineRule="auto"/>
            </w:pPr>
            <w:r>
              <w:rPr>
                <w:rFonts w:ascii="Times New Roman" w:hAnsi="Times New Roman"/>
                <w:sz w:val="13"/>
              </w:rPr>
              <w:t>Direct public voice followed by mediated instruction.</w:t>
            </w:r>
          </w:p>
        </w:tc>
      </w:tr>
      <w:tr>
        <w:tc>
          <w:tcPr>
            <w:tcW w:type="dxa" w:w="3561"/>
            <w:vAlign w:val="top"/>
          </w:tcPr>
          <w:p>
            <w:pPr>
              <w:spacing w:after="0" w:line="223" w:lineRule="auto"/>
            </w:pPr>
            <w:r>
              <w:rPr>
                <w:rFonts w:ascii="Times New Roman" w:hAnsi="Times New Roman"/>
                <w:sz w:val="13"/>
              </w:rPr>
              <w:t>Deut. 5:6</w:t>
            </w:r>
          </w:p>
        </w:tc>
        <w:tc>
          <w:tcPr>
            <w:tcW w:type="dxa" w:w="3561"/>
            <w:vAlign w:val="top"/>
          </w:tcPr>
          <w:p>
            <w:pPr>
              <w:spacing w:after="0" w:line="223" w:lineRule="auto"/>
            </w:pPr>
            <w:r>
              <w:rPr>
                <w:rFonts w:ascii="Times New Roman" w:hAnsi="Times New Roman"/>
                <w:sz w:val="13"/>
              </w:rPr>
              <w:t>Exodus before commandments</w:t>
            </w:r>
          </w:p>
        </w:tc>
        <w:tc>
          <w:tcPr>
            <w:tcW w:type="dxa" w:w="3561"/>
            <w:vAlign w:val="top"/>
          </w:tcPr>
          <w:p>
            <w:pPr>
              <w:spacing w:after="0" w:line="223" w:lineRule="auto"/>
            </w:pPr>
            <w:r>
              <w:rPr>
                <w:rFonts w:ascii="Times New Roman" w:hAnsi="Times New Roman"/>
                <w:sz w:val="13"/>
              </w:rPr>
              <w:t>Redemption precedes obligation.</w:t>
            </w:r>
          </w:p>
        </w:tc>
      </w:tr>
      <w:tr>
        <w:tc>
          <w:tcPr>
            <w:tcW w:type="dxa" w:w="3561"/>
            <w:vAlign w:val="top"/>
          </w:tcPr>
          <w:p>
            <w:pPr>
              <w:spacing w:after="0" w:line="223" w:lineRule="auto"/>
            </w:pPr>
            <w:r>
              <w:rPr>
                <w:rFonts w:ascii="Times New Roman" w:hAnsi="Times New Roman"/>
                <w:sz w:val="13"/>
              </w:rPr>
              <w:t>Deut. 5:8–9</w:t>
            </w:r>
          </w:p>
        </w:tc>
        <w:tc>
          <w:tcPr>
            <w:tcW w:type="dxa" w:w="3561"/>
            <w:vAlign w:val="top"/>
          </w:tcPr>
          <w:p>
            <w:pPr>
              <w:spacing w:after="0" w:line="223" w:lineRule="auto"/>
            </w:pPr>
            <w:r>
              <w:rPr>
                <w:rFonts w:ascii="Times New Roman" w:hAnsi="Times New Roman"/>
                <w:sz w:val="13"/>
              </w:rPr>
              <w:t>image prohibition</w:t>
            </w:r>
          </w:p>
        </w:tc>
        <w:tc>
          <w:tcPr>
            <w:tcW w:type="dxa" w:w="3561"/>
            <w:vAlign w:val="top"/>
          </w:tcPr>
          <w:p>
            <w:pPr>
              <w:spacing w:after="0" w:line="223" w:lineRule="auto"/>
            </w:pPr>
            <w:r>
              <w:rPr>
                <w:rFonts w:ascii="Times New Roman" w:hAnsi="Times New Roman"/>
                <w:sz w:val="13"/>
              </w:rPr>
              <w:t>Worship context; not a blanket art ban.</w:t>
            </w:r>
          </w:p>
        </w:tc>
      </w:tr>
      <w:tr>
        <w:tc>
          <w:tcPr>
            <w:tcW w:type="dxa" w:w="3561"/>
            <w:vAlign w:val="top"/>
          </w:tcPr>
          <w:p>
            <w:pPr>
              <w:spacing w:after="0" w:line="223" w:lineRule="auto"/>
            </w:pPr>
            <w:r>
              <w:rPr>
                <w:rFonts w:ascii="Times New Roman" w:hAnsi="Times New Roman"/>
                <w:sz w:val="13"/>
              </w:rPr>
              <w:t>Deut. 5:9–10</w:t>
            </w:r>
          </w:p>
        </w:tc>
        <w:tc>
          <w:tcPr>
            <w:tcW w:type="dxa" w:w="3561"/>
            <w:vAlign w:val="top"/>
          </w:tcPr>
          <w:p>
            <w:pPr>
              <w:spacing w:after="0" w:line="223" w:lineRule="auto"/>
            </w:pPr>
            <w:r>
              <w:rPr>
                <w:rFonts w:ascii="Times New Roman" w:hAnsi="Times New Roman"/>
                <w:sz w:val="13"/>
              </w:rPr>
              <w:t>third/fourth vs thousands</w:t>
            </w:r>
          </w:p>
        </w:tc>
        <w:tc>
          <w:tcPr>
            <w:tcW w:type="dxa" w:w="3561"/>
            <w:vAlign w:val="top"/>
          </w:tcPr>
          <w:p>
            <w:pPr>
              <w:spacing w:after="0" w:line="223" w:lineRule="auto"/>
            </w:pPr>
            <w:r>
              <w:rPr>
                <w:rFonts w:ascii="Times New Roman" w:hAnsi="Times New Roman"/>
                <w:sz w:val="13"/>
              </w:rPr>
              <w:t>Consequences among haters; abundant covenant love.</w:t>
            </w:r>
          </w:p>
        </w:tc>
      </w:tr>
      <w:tr>
        <w:tc>
          <w:tcPr>
            <w:tcW w:type="dxa" w:w="3561"/>
            <w:vAlign w:val="top"/>
          </w:tcPr>
          <w:p>
            <w:pPr>
              <w:spacing w:after="0" w:line="223" w:lineRule="auto"/>
            </w:pPr>
            <w:r>
              <w:rPr>
                <w:rFonts w:ascii="Times New Roman" w:hAnsi="Times New Roman"/>
                <w:sz w:val="13"/>
              </w:rPr>
              <w:t>Ezek. 18</w:t>
            </w:r>
          </w:p>
        </w:tc>
        <w:tc>
          <w:tcPr>
            <w:tcW w:type="dxa" w:w="3561"/>
            <w:vAlign w:val="top"/>
          </w:tcPr>
          <w:p>
            <w:pPr>
              <w:spacing w:after="0" w:line="223" w:lineRule="auto"/>
            </w:pPr>
            <w:r>
              <w:rPr>
                <w:rFonts w:ascii="Times New Roman" w:hAnsi="Times New Roman"/>
                <w:sz w:val="13"/>
              </w:rPr>
              <w:t>personal accountability</w:t>
            </w:r>
          </w:p>
        </w:tc>
        <w:tc>
          <w:tcPr>
            <w:tcW w:type="dxa" w:w="3561"/>
            <w:vAlign w:val="top"/>
          </w:tcPr>
          <w:p>
            <w:pPr>
              <w:spacing w:after="0" w:line="223" w:lineRule="auto"/>
            </w:pPr>
            <w:r>
              <w:rPr>
                <w:rFonts w:ascii="Times New Roman" w:hAnsi="Times New Roman"/>
                <w:sz w:val="13"/>
              </w:rPr>
              <w:t>Children do not automatically bear parental guilt.</w:t>
            </w:r>
          </w:p>
        </w:tc>
      </w:tr>
      <w:tr>
        <w:tc>
          <w:tcPr>
            <w:tcW w:type="dxa" w:w="3561"/>
            <w:vAlign w:val="top"/>
          </w:tcPr>
          <w:p>
            <w:pPr>
              <w:spacing w:after="0" w:line="223" w:lineRule="auto"/>
            </w:pPr>
            <w:r>
              <w:rPr>
                <w:rFonts w:ascii="Times New Roman" w:hAnsi="Times New Roman"/>
                <w:sz w:val="13"/>
              </w:rPr>
              <w:t>Deut. 5:11</w:t>
            </w:r>
          </w:p>
        </w:tc>
        <w:tc>
          <w:tcPr>
            <w:tcW w:type="dxa" w:w="3561"/>
            <w:vAlign w:val="top"/>
          </w:tcPr>
          <w:p>
            <w:pPr>
              <w:spacing w:after="0" w:line="223" w:lineRule="auto"/>
            </w:pPr>
            <w:r>
              <w:rPr>
                <w:rFonts w:ascii="Times New Roman" w:hAnsi="Times New Roman"/>
                <w:sz w:val="13"/>
              </w:rPr>
              <w:t>lashshav’</w:t>
            </w:r>
          </w:p>
        </w:tc>
        <w:tc>
          <w:tcPr>
            <w:tcW w:type="dxa" w:w="3561"/>
            <w:vAlign w:val="top"/>
          </w:tcPr>
          <w:p>
            <w:pPr>
              <w:spacing w:after="0" w:line="223" w:lineRule="auto"/>
            </w:pPr>
            <w:r>
              <w:rPr>
                <w:rFonts w:ascii="Times New Roman" w:hAnsi="Times New Roman"/>
                <w:sz w:val="13"/>
              </w:rPr>
              <w:t>For emptiness/falsehood/vanity.</w:t>
            </w:r>
          </w:p>
        </w:tc>
      </w:tr>
      <w:tr>
        <w:tc>
          <w:tcPr>
            <w:tcW w:type="dxa" w:w="3561"/>
            <w:vAlign w:val="top"/>
          </w:tcPr>
          <w:p>
            <w:pPr>
              <w:spacing w:after="0" w:line="223" w:lineRule="auto"/>
            </w:pPr>
            <w:r>
              <w:rPr>
                <w:rFonts w:ascii="Times New Roman" w:hAnsi="Times New Roman"/>
                <w:sz w:val="13"/>
              </w:rPr>
              <w:t>Deut. 5:12–15</w:t>
            </w:r>
          </w:p>
        </w:tc>
        <w:tc>
          <w:tcPr>
            <w:tcW w:type="dxa" w:w="3561"/>
            <w:vAlign w:val="top"/>
          </w:tcPr>
          <w:p>
            <w:pPr>
              <w:spacing w:after="0" w:line="223" w:lineRule="auto"/>
            </w:pPr>
            <w:r>
              <w:rPr>
                <w:rFonts w:ascii="Times New Roman" w:hAnsi="Times New Roman"/>
                <w:sz w:val="13"/>
              </w:rPr>
              <w:t>Sabbath = remember Egypt</w:t>
            </w:r>
          </w:p>
        </w:tc>
        <w:tc>
          <w:tcPr>
            <w:tcW w:type="dxa" w:w="3561"/>
            <w:vAlign w:val="top"/>
          </w:tcPr>
          <w:p>
            <w:pPr>
              <w:spacing w:after="0" w:line="223" w:lineRule="auto"/>
            </w:pPr>
            <w:r>
              <w:rPr>
                <w:rFonts w:ascii="Times New Roman" w:hAnsi="Times New Roman"/>
                <w:sz w:val="13"/>
              </w:rPr>
              <w:t>Compare Ex. 20:11 creation rationale.</w:t>
            </w:r>
          </w:p>
        </w:tc>
      </w:tr>
      <w:tr>
        <w:tc>
          <w:tcPr>
            <w:tcW w:type="dxa" w:w="3561"/>
            <w:vAlign w:val="top"/>
          </w:tcPr>
          <w:p>
            <w:pPr>
              <w:spacing w:after="0" w:line="223" w:lineRule="auto"/>
            </w:pPr>
            <w:r>
              <w:rPr>
                <w:rFonts w:ascii="Times New Roman" w:hAnsi="Times New Roman"/>
                <w:sz w:val="13"/>
              </w:rPr>
              <w:t>Deut. 5:16</w:t>
            </w:r>
          </w:p>
        </w:tc>
        <w:tc>
          <w:tcPr>
            <w:tcW w:type="dxa" w:w="3561"/>
            <w:vAlign w:val="top"/>
          </w:tcPr>
          <w:p>
            <w:pPr>
              <w:spacing w:after="0" w:line="223" w:lineRule="auto"/>
            </w:pPr>
            <w:r>
              <w:rPr>
                <w:rFonts w:ascii="Times New Roman" w:hAnsi="Times New Roman"/>
                <w:sz w:val="13"/>
              </w:rPr>
              <w:t>honour parents</w:t>
            </w:r>
          </w:p>
        </w:tc>
        <w:tc>
          <w:tcPr>
            <w:tcW w:type="dxa" w:w="3561"/>
            <w:vAlign w:val="top"/>
          </w:tcPr>
          <w:p>
            <w:pPr>
              <w:spacing w:after="0" w:line="223" w:lineRule="auto"/>
            </w:pPr>
            <w:r>
              <w:rPr>
                <w:rFonts w:ascii="Times New Roman" w:hAnsi="Times New Roman"/>
                <w:sz w:val="13"/>
              </w:rPr>
              <w:t>Promise expanded; compare Eph. 6:2–3.</w:t>
            </w:r>
          </w:p>
        </w:tc>
      </w:tr>
      <w:tr>
        <w:tc>
          <w:tcPr>
            <w:tcW w:type="dxa" w:w="3561"/>
            <w:vAlign w:val="top"/>
          </w:tcPr>
          <w:p>
            <w:pPr>
              <w:spacing w:after="0" w:line="223" w:lineRule="auto"/>
            </w:pPr>
            <w:r>
              <w:rPr>
                <w:rFonts w:ascii="Times New Roman" w:hAnsi="Times New Roman"/>
                <w:sz w:val="13"/>
              </w:rPr>
              <w:t>Deut. 5:21 / Ex. 20:17</w:t>
            </w:r>
          </w:p>
        </w:tc>
        <w:tc>
          <w:tcPr>
            <w:tcW w:type="dxa" w:w="3561"/>
            <w:vAlign w:val="top"/>
          </w:tcPr>
          <w:p>
            <w:pPr>
              <w:spacing w:after="0" w:line="223" w:lineRule="auto"/>
            </w:pPr>
            <w:r>
              <w:rPr>
                <w:rFonts w:ascii="Times New Roman" w:hAnsi="Times New Roman"/>
                <w:sz w:val="13"/>
              </w:rPr>
              <w:t>coveting order differs</w:t>
            </w:r>
          </w:p>
        </w:tc>
        <w:tc>
          <w:tcPr>
            <w:tcW w:type="dxa" w:w="3561"/>
            <w:vAlign w:val="top"/>
          </w:tcPr>
          <w:p>
            <w:pPr>
              <w:spacing w:after="0" w:line="223" w:lineRule="auto"/>
            </w:pPr>
            <w:r>
              <w:rPr>
                <w:rFonts w:ascii="Times New Roman" w:hAnsi="Times New Roman"/>
                <w:sz w:val="13"/>
              </w:rPr>
              <w:t>Substance remains inward prohibition.</w:t>
            </w:r>
          </w:p>
        </w:tc>
      </w:tr>
      <w:tr>
        <w:tc>
          <w:tcPr>
            <w:tcW w:type="dxa" w:w="3561"/>
            <w:vAlign w:val="top"/>
          </w:tcPr>
          <w:p>
            <w:pPr>
              <w:spacing w:after="0" w:line="223" w:lineRule="auto"/>
            </w:pPr>
            <w:r>
              <w:rPr>
                <w:rFonts w:ascii="Times New Roman" w:hAnsi="Times New Roman"/>
                <w:sz w:val="13"/>
              </w:rPr>
              <w:t>Deut. 5:22</w:t>
            </w:r>
          </w:p>
        </w:tc>
        <w:tc>
          <w:tcPr>
            <w:tcW w:type="dxa" w:w="3561"/>
            <w:vAlign w:val="top"/>
          </w:tcPr>
          <w:p>
            <w:pPr>
              <w:spacing w:after="0" w:line="223" w:lineRule="auto"/>
            </w:pPr>
            <w:r>
              <w:rPr>
                <w:rFonts w:ascii="Times New Roman" w:hAnsi="Times New Roman"/>
                <w:sz w:val="13"/>
              </w:rPr>
              <w:t>added no more</w:t>
            </w:r>
          </w:p>
        </w:tc>
        <w:tc>
          <w:tcPr>
            <w:tcW w:type="dxa" w:w="3561"/>
            <w:vAlign w:val="top"/>
          </w:tcPr>
          <w:p>
            <w:pPr>
              <w:spacing w:after="0" w:line="223" w:lineRule="auto"/>
            </w:pPr>
            <w:r>
              <w:rPr>
                <w:rFonts w:ascii="Times New Roman" w:hAnsi="Times New Roman"/>
                <w:sz w:val="13"/>
              </w:rPr>
              <w:t>End of direct public Decalogue utterance.</w:t>
            </w:r>
          </w:p>
        </w:tc>
      </w:tr>
      <w:tr>
        <w:tc>
          <w:tcPr>
            <w:tcW w:type="dxa" w:w="3561"/>
            <w:vAlign w:val="top"/>
          </w:tcPr>
          <w:p>
            <w:pPr>
              <w:spacing w:after="0" w:line="223" w:lineRule="auto"/>
            </w:pPr>
            <w:r>
              <w:rPr>
                <w:rFonts w:ascii="Times New Roman" w:hAnsi="Times New Roman"/>
                <w:sz w:val="13"/>
              </w:rPr>
              <w:t>Deut. 5:27</w:t>
            </w:r>
          </w:p>
        </w:tc>
        <w:tc>
          <w:tcPr>
            <w:tcW w:type="dxa" w:w="3561"/>
            <w:vAlign w:val="top"/>
          </w:tcPr>
          <w:p>
            <w:pPr>
              <w:spacing w:after="0" w:line="223" w:lineRule="auto"/>
            </w:pPr>
            <w:r>
              <w:rPr>
                <w:rFonts w:ascii="Times New Roman" w:hAnsi="Times New Roman"/>
                <w:sz w:val="13"/>
              </w:rPr>
              <w:t>Moses mediates</w:t>
            </w:r>
          </w:p>
        </w:tc>
        <w:tc>
          <w:tcPr>
            <w:tcW w:type="dxa" w:w="3561"/>
            <w:vAlign w:val="top"/>
          </w:tcPr>
          <w:p>
            <w:pPr>
              <w:spacing w:after="0" w:line="223" w:lineRule="auto"/>
            </w:pPr>
            <w:r>
              <w:rPr>
                <w:rFonts w:ascii="Times New Roman" w:hAnsi="Times New Roman"/>
                <w:sz w:val="13"/>
              </w:rPr>
              <w:t>People request relay of further word.</w:t>
            </w:r>
          </w:p>
        </w:tc>
      </w:tr>
      <w:tr>
        <w:tc>
          <w:tcPr>
            <w:tcW w:type="dxa" w:w="3561"/>
            <w:vAlign w:val="top"/>
          </w:tcPr>
          <w:p>
            <w:pPr>
              <w:spacing w:after="0" w:line="223" w:lineRule="auto"/>
            </w:pPr>
            <w:r>
              <w:rPr>
                <w:rFonts w:ascii="Times New Roman" w:hAnsi="Times New Roman"/>
                <w:sz w:val="13"/>
              </w:rPr>
              <w:t>Deut. 5:29</w:t>
            </w:r>
          </w:p>
        </w:tc>
        <w:tc>
          <w:tcPr>
            <w:tcW w:type="dxa" w:w="3561"/>
            <w:vAlign w:val="top"/>
          </w:tcPr>
          <w:p>
            <w:pPr>
              <w:spacing w:after="0" w:line="223" w:lineRule="auto"/>
            </w:pPr>
            <w:r>
              <w:rPr>
                <w:rFonts w:ascii="Times New Roman" w:hAnsi="Times New Roman"/>
                <w:sz w:val="13"/>
              </w:rPr>
              <w:t>O that there were such a heart</w:t>
            </w:r>
          </w:p>
        </w:tc>
        <w:tc>
          <w:tcPr>
            <w:tcW w:type="dxa" w:w="3561"/>
            <w:vAlign w:val="top"/>
          </w:tcPr>
          <w:p>
            <w:pPr>
              <w:spacing w:after="0" w:line="223" w:lineRule="auto"/>
            </w:pPr>
            <w:r>
              <w:rPr>
                <w:rFonts w:ascii="Times New Roman" w:hAnsi="Times New Roman"/>
                <w:sz w:val="13"/>
              </w:rPr>
              <w:t>Covenant desire, not Divine ignorance.</w:t>
            </w:r>
          </w:p>
        </w:tc>
      </w:tr>
      <w:tr>
        <w:tc>
          <w:tcPr>
            <w:tcW w:type="dxa" w:w="3561"/>
            <w:vAlign w:val="top"/>
          </w:tcPr>
          <w:p>
            <w:pPr>
              <w:spacing w:after="0" w:line="223" w:lineRule="auto"/>
            </w:pPr>
            <w:r>
              <w:rPr>
                <w:rFonts w:ascii="Times New Roman" w:hAnsi="Times New Roman"/>
                <w:sz w:val="13"/>
              </w:rPr>
              <w:t>Deut. 5:32</w:t>
            </w:r>
          </w:p>
        </w:tc>
        <w:tc>
          <w:tcPr>
            <w:tcW w:type="dxa" w:w="3561"/>
            <w:vAlign w:val="top"/>
          </w:tcPr>
          <w:p>
            <w:pPr>
              <w:spacing w:after="0" w:line="223" w:lineRule="auto"/>
            </w:pPr>
            <w:r>
              <w:rPr>
                <w:rFonts w:ascii="Times New Roman" w:hAnsi="Times New Roman"/>
                <w:sz w:val="13"/>
              </w:rPr>
              <w:t>right nor left</w:t>
            </w:r>
          </w:p>
        </w:tc>
        <w:tc>
          <w:tcPr>
            <w:tcW w:type="dxa" w:w="3561"/>
            <w:vAlign w:val="top"/>
          </w:tcPr>
          <w:p>
            <w:pPr>
              <w:spacing w:after="0" w:line="223" w:lineRule="auto"/>
            </w:pPr>
            <w:r>
              <w:rPr>
                <w:rFonts w:ascii="Times New Roman" w:hAnsi="Times New Roman"/>
                <w:sz w:val="13"/>
              </w:rPr>
              <w:t>Exact obedience.</w:t>
            </w:r>
          </w:p>
        </w:tc>
      </w:tr>
    </w:tbl>
    <w:p>
      <w:pPr>
        <w:pStyle w:val="Heading1"/>
      </w:pPr>
      <w:r>
        <w:t>RESIDUAL UNCERTAINTIES</w:t>
      </w:r>
    </w:p>
    <w:p>
      <w:pPr/>
      <w:r>
        <w:rPr>
          <w:i w:val="0"/>
        </w:rPr>
        <w:t>The precise referent of “our fathers” in verse 3 is discussed by interpreters, though the contrast with the patriarchal ancestors fits the covenant argument well. The relationship between legal covenant form and later New Testament covenant categories should be developed from the whole canon rather than forced into individual wording here.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