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6</w:t>
      </w:r>
    </w:p>
    <w:p>
      <w:pPr>
        <w:pStyle w:val="Subtitle"/>
      </w:pPr>
      <w:r>
        <w:t>THE SHEMA • YAHWEH ALONE • LOVE WITH ALL HEART, LIFE AND MIGHT • TEACH DILIGENTLY • SIGNS, FRONTLETS AND DOORPOSTS • DO NOT FORGET IN PROSPERITY • BROUGHT OUT TO BE BROUGHT IN</w:t>
      </w:r>
    </w:p>
    <w:p>
      <w:pPr/>
      <w:r>
        <w:rPr>
          <w:i/>
        </w:rPr>
        <w:t>H. P. Mansfield Bible notes — checked and arranged in verse-by-verse Expositor style</w:t>
      </w:r>
    </w:p>
    <w:p>
      <w:pPr/>
      <w:r>
        <w:rPr>
          <w:i w:val="0"/>
        </w:rPr>
        <w:t>Source: HPB 04-Deu01-Jud04.PDF p. 13 and continuation; cross-checked with Mansfield’s Deuteronomy Expositor Chapter 6.</w:t>
      </w:r>
    </w:p>
    <w:p>
      <w:pPr>
        <w:pStyle w:val="Heading1"/>
      </w:pPr>
      <w:r>
        <w:t>CHAPTER OVERVIEW</w:t>
      </w:r>
    </w:p>
    <w:p>
      <w:pPr/>
      <w:r>
        <w:rPr>
          <w:i w:val="0"/>
        </w:rPr>
        <w:t>Deuteronomy 6 moves from the covenant words to the covenant heart. Yahweh must be the exclusive centre of Israel’s loyalty, and His words must fill home, conversation, routine and the education of children.</w:t>
      </w:r>
    </w:p>
    <w:p>
      <w:pPr/>
      <w:r>
        <w:rPr>
          <w:i w:val="0"/>
        </w:rPr>
        <w:t>The chapter’s great danger is not only wilderness deprivation but settled prosperity. Houses, wells and vineyards received as gifts can produce forgetfulness unless redemption remains the explanation of Israel’s life.</w:t>
      </w:r>
    </w:p>
    <w:p>
      <w:pPr>
        <w:pStyle w:val="Heading1"/>
      </w:pPr>
      <w:r>
        <w:t>FEAR, HEAR AND DO — DEUTERONOMY 6:1–3</w:t>
      </w:r>
    </w:p>
    <w:p>
      <w:pPr>
        <w:pStyle w:val="Heading2"/>
      </w:pPr>
      <w:r>
        <w:t>Deuteronomy 6:1 — commandment, statutes and judgments</w:t>
      </w:r>
    </w:p>
    <w:p>
      <w:pPr/>
      <w:r>
        <w:rPr>
          <w:i w:val="0"/>
        </w:rPr>
        <w:t>Moses teaches the commandment, statutes and judgments Israel must do in the land. Knowledge is never detached from practice.</w:t>
      </w:r>
    </w:p>
    <w:p>
      <w:pPr>
        <w:pStyle w:val="Heading2"/>
      </w:pPr>
      <w:r>
        <w:t>Deuteronomy 6:2–3 — generations under reverent obedience</w:t>
      </w:r>
    </w:p>
    <w:p>
      <w:pPr/>
      <w:r>
        <w:rPr>
          <w:i w:val="0"/>
        </w:rPr>
        <w:t>Israel, children and grandchildren are to fear Yahweh throughout life, keep His commands and hear with intent to do, so that it may be well with them in the promised land.</w:t>
      </w:r>
    </w:p>
    <w:p>
      <w:pPr/>
      <w:r>
        <w:rPr>
          <w:i w:val="0"/>
        </w:rPr>
        <w:t>`Shama‘` includes hearing/listening and often obedience from what is heard; the context explicitly joins hearing with doing.</w:t>
      </w:r>
    </w:p>
    <w:p>
      <w:pPr>
        <w:pStyle w:val="Heading1"/>
      </w:pPr>
      <w:r>
        <w:t>THE SHEMA — DEUTERONOMY 6:4–5</w:t>
      </w:r>
    </w:p>
    <w:p>
      <w:pPr>
        <w:pStyle w:val="Heading2"/>
      </w:pPr>
      <w:r>
        <w:t>Deuteronomy 6:4 — “Hear, O Israel”</w:t>
      </w:r>
    </w:p>
    <w:p>
      <w:pPr/>
      <w:r>
        <w:rPr>
          <w:i w:val="0"/>
        </w:rPr>
        <w:t>“Yahweh our God, Yahweh is one” is the traditional KJV-form sense. Grammatically the Hebrew can also be rendered “Yahweh is our God, Yahweh alone.” In either case the confession demands Yahweh’s unique and exclusive deity and Israel’s undivided allegiance.</w:t>
      </w:r>
    </w:p>
    <w:p>
      <w:pPr/>
      <w:r>
        <w:rPr>
          <w:i w:val="0"/>
        </w:rPr>
        <w:t>Mansfield’s claim that `echad` specifically means a “compound unity” while `yachid` would be the word for absolute personal unity is lexically misleading. `Echad` is the normal Hebrew cardinal “one” and can describe one individual or a unified collection according to context. The verse itself is not encoded grammar for a plurality of Divine persons.</w:t>
      </w:r>
    </w:p>
    <w:p>
      <w:pPr>
        <w:pStyle w:val="Heading2"/>
      </w:pPr>
      <w:r>
        <w:t>Deuteronomy 6:4 — Elohenu</w:t>
      </w:r>
    </w:p>
    <w:p>
      <w:pPr/>
      <w:r>
        <w:rPr>
          <w:i w:val="0"/>
        </w:rPr>
        <w:t>`Elohenu` means “our God.” Although `elohim` has a morphologically plural form and can in some contexts refer to gods or heavenly beings, here syntax and the Divine Name identify the one God of Israel.</w:t>
      </w:r>
    </w:p>
    <w:p>
      <w:pPr/>
      <w:r>
        <w:rPr>
          <w:i w:val="0"/>
        </w:rPr>
        <w:t>God-manifestation may be taught from wider Scripture, but it should not replace the ordinary contextual meaning of the Shema.</w:t>
      </w:r>
    </w:p>
    <w:p>
      <w:pPr>
        <w:pStyle w:val="Heading2"/>
      </w:pPr>
      <w:r>
        <w:t>Deuteronomy 6:5 — total love</w:t>
      </w:r>
    </w:p>
    <w:p>
      <w:pPr/>
      <w:r>
        <w:rPr>
          <w:i w:val="0"/>
        </w:rPr>
        <w:t>Israel must love Yahweh with all `levav`, heart/inner person, all `nephesh`, life/self, and all `me’od`, might/strength/very much.</w:t>
      </w:r>
    </w:p>
    <w:p>
      <w:pPr/>
      <w:r>
        <w:rPr>
          <w:i w:val="0"/>
        </w:rPr>
        <w:t>The language demands whole-person devotion rather than a technical partition of human nature. Jesus identifies this as the great commandment.</w:t>
      </w:r>
    </w:p>
    <w:p>
      <w:pPr>
        <w:pStyle w:val="Heading1"/>
      </w:pPr>
      <w:r>
        <w:t>THE WORD THROUGHOUT DAILY LIFE — DEUTERONOMY 6:6–9</w:t>
      </w:r>
    </w:p>
    <w:p>
      <w:pPr>
        <w:pStyle w:val="Heading2"/>
      </w:pPr>
      <w:r>
        <w:t>Deuteronomy 6:6 — first in the heart</w:t>
      </w:r>
    </w:p>
    <w:p>
      <w:pPr/>
      <w:r>
        <w:rPr>
          <w:i w:val="0"/>
        </w:rPr>
        <w:t>The words are to be upon the heart before they can be taught faithfully to the next generation.</w:t>
      </w:r>
    </w:p>
    <w:p>
      <w:pPr>
        <w:pStyle w:val="Heading2"/>
      </w:pPr>
      <w:r>
        <w:t>Deuteronomy 6:7 — teach diligently</w:t>
      </w:r>
    </w:p>
    <w:p>
      <w:pPr/>
      <w:r>
        <w:rPr>
          <w:i w:val="0"/>
        </w:rPr>
        <w:t>The verb `shanan` literally carries the idea of sharpening and, in this intensive form, inculcating/repeating diligently. Parents speak of the words sitting at home, walking, lying down and rising.</w:t>
      </w:r>
    </w:p>
    <w:p>
      <w:pPr/>
      <w:r>
        <w:rPr>
          <w:i w:val="0"/>
        </w:rPr>
        <w:t>Spiritual education is woven through ordinary life, not confined to occasional formal lessons.</w:t>
      </w:r>
    </w:p>
    <w:p>
      <w:pPr>
        <w:pStyle w:val="Heading2"/>
      </w:pPr>
      <w:r>
        <w:t>Deuteronomy 6:8–9 — hand, eyes, doorposts and gates</w:t>
      </w:r>
    </w:p>
    <w:p>
      <w:pPr/>
      <w:r>
        <w:rPr>
          <w:i w:val="0"/>
        </w:rPr>
        <w:t>Israel is to bind the words as a sign on the hand and as frontlets between the eyes and write them on house doorposts and gates.</w:t>
      </w:r>
    </w:p>
    <w:p>
      <w:pPr/>
      <w:r>
        <w:rPr>
          <w:i w:val="0"/>
        </w:rPr>
        <w:t>Jewish tefillin and mezuzah practices developed as literal obedience to this language. The commands also naturally teach that thought, action and household life belong under the word; it is unnecessary to insist the text is only literal or only metaphorical.</w:t>
      </w:r>
    </w:p>
    <w:p>
      <w:pPr>
        <w:pStyle w:val="Heading1"/>
      </w:pPr>
      <w:r>
        <w:t>PROSPERITY AND FORGETFULNESS — DEUTERONOMY 6:10–15</w:t>
      </w:r>
    </w:p>
    <w:p>
      <w:pPr>
        <w:pStyle w:val="Heading2"/>
      </w:pPr>
      <w:r>
        <w:t>Deuteronomy 6:10–12 — gifted abundance</w:t>
      </w:r>
    </w:p>
    <w:p>
      <w:pPr/>
      <w:r>
        <w:rPr>
          <w:i w:val="0"/>
        </w:rPr>
        <w:t>Israel will receive great cities, furnished houses, wells, vineyards and olive trees it did not create. Precisely when full, it must beware lest it forget Yahweh who brought it from slavery.</w:t>
      </w:r>
    </w:p>
    <w:p>
      <w:pPr/>
      <w:r>
        <w:rPr>
          <w:i w:val="0"/>
        </w:rPr>
        <w:t>Prosperity is a test because gift can be mistaken for self-achievement.</w:t>
      </w:r>
    </w:p>
    <w:p>
      <w:pPr>
        <w:pStyle w:val="Heading2"/>
      </w:pPr>
      <w:r>
        <w:t>Deuteronomy 6:13 — fear, serve and swear by His Name</w:t>
      </w:r>
    </w:p>
    <w:p>
      <w:pPr/>
      <w:r>
        <w:rPr>
          <w:i w:val="0"/>
        </w:rPr>
        <w:t>Israel must fear Yahweh, serve Him and swear by His Name in covenantally truthful oaths. Jesus cites this verse when rejecting the wilderness temptation to idolatrous worship.</w:t>
      </w:r>
    </w:p>
    <w:p>
      <w:pPr/>
      <w:r>
        <w:rPr>
          <w:i w:val="0"/>
        </w:rPr>
        <w:t>Matthew and Luke phrase the citation with “worship/serve,” reflecting the verse’s exclusive worship principle.</w:t>
      </w:r>
    </w:p>
    <w:p>
      <w:pPr>
        <w:pStyle w:val="Heading2"/>
      </w:pPr>
      <w:r>
        <w:t>Deuteronomy 6:14–15 — no surrounding gods</w:t>
      </w:r>
    </w:p>
    <w:p>
      <w:pPr/>
      <w:r>
        <w:rPr>
          <w:i w:val="0"/>
        </w:rPr>
        <w:t>Yahweh is jealous in Israel’s midst; following surrounding gods would bring covenant judgment.</w:t>
      </w:r>
    </w:p>
    <w:p>
      <w:pPr>
        <w:pStyle w:val="Heading1"/>
      </w:pPr>
      <w:r>
        <w:t>DO NOT TEST YAHWEH — DEUTERONOMY 6:16–19</w:t>
      </w:r>
    </w:p>
    <w:p>
      <w:pPr>
        <w:pStyle w:val="Heading2"/>
      </w:pPr>
      <w:r>
        <w:t>Deuteronomy 6:16 — Massah</w:t>
      </w:r>
    </w:p>
    <w:p>
      <w:pPr/>
      <w:r>
        <w:rPr>
          <w:i w:val="0"/>
        </w:rPr>
        <w:t>“Ye shall not tempt/test Yahweh your God, as ye tempted him in Massah.” Exodus 17 records Israel demanding proof of Yahweh’s presence while quarrelling over water.</w:t>
      </w:r>
    </w:p>
    <w:p>
      <w:pPr/>
      <w:r>
        <w:rPr>
          <w:i w:val="0"/>
        </w:rPr>
        <w:t>Jesus quotes this command when refusing to manufacture a spectacular test of Divine protection.</w:t>
      </w:r>
    </w:p>
    <w:p>
      <w:pPr>
        <w:pStyle w:val="Heading2"/>
      </w:pPr>
      <w:r>
        <w:t>Deuteronomy 6:17–19 — do what is right and good</w:t>
      </w:r>
    </w:p>
    <w:p>
      <w:pPr/>
      <w:r>
        <w:rPr>
          <w:i w:val="0"/>
        </w:rPr>
        <w:t>Israel must diligently keep command, testimony and statute and do what is right and good, so that it may enter and possess the promised land.</w:t>
      </w:r>
    </w:p>
    <w:p>
      <w:pPr>
        <w:pStyle w:val="Heading1"/>
      </w:pPr>
      <w:r>
        <w:t>WHAT TO TELL THE CHILDREN — DEUTERONOMY 6:20–25</w:t>
      </w:r>
    </w:p>
    <w:p>
      <w:pPr>
        <w:pStyle w:val="Heading2"/>
      </w:pPr>
      <w:r>
        <w:t>Deuteronomy 6:20 — when the son asks “what mean these?”</w:t>
      </w:r>
    </w:p>
    <w:p>
      <w:pPr/>
      <w:r>
        <w:rPr>
          <w:i w:val="0"/>
        </w:rPr>
        <w:t>The child’s question about testimonies, statutes and judgments is answered with history and meaning, not merely a list of rules.</w:t>
      </w:r>
    </w:p>
    <w:p>
      <w:pPr>
        <w:pStyle w:val="Heading2"/>
      </w:pPr>
      <w:r>
        <w:t>Deuteronomy 6:21–23 — “we were Pharaoh’s bondmen”</w:t>
      </w:r>
    </w:p>
    <w:p>
      <w:pPr/>
      <w:r>
        <w:rPr>
          <w:i w:val="0"/>
        </w:rPr>
        <w:t>The answer begins with slavery, signs, deliverance and the purpose: Yahweh “brought us out from thence, that he might bring us in” and give the land sworn to the fathers.</w:t>
      </w:r>
    </w:p>
    <w:p>
      <w:pPr/>
      <w:r>
        <w:rPr>
          <w:i w:val="0"/>
        </w:rPr>
        <w:t>This is one of Deuteronomy’s clearest grace-before-obedience statements.</w:t>
      </w:r>
    </w:p>
    <w:p>
      <w:pPr>
        <w:pStyle w:val="Heading2"/>
      </w:pPr>
      <w:r>
        <w:t>Deuteronomy 6:24–25 — commands for good; righteousness in doing</w:t>
      </w:r>
    </w:p>
    <w:p>
      <w:pPr/>
      <w:r>
        <w:rPr>
          <w:i w:val="0"/>
        </w:rPr>
        <w:t>Yahweh commands these statutes for Israel’s good and preservation. “It shall be our righteousness” describes covenant right-doing when Israel carefully performs Yahweh’s command.</w:t>
      </w:r>
    </w:p>
    <w:p>
      <w:pPr/>
      <w:r>
        <w:rPr>
          <w:i w:val="0"/>
        </w:rPr>
        <w:t>The verse should not be turned into a doctrine that fallen humans earn eternal life by flawless law-keeping. Within the chapter, obedience belongs to a people already redeemed from Egypt.</w:t>
      </w:r>
    </w:p>
    <w:p>
      <w:pPr>
        <w:pStyle w:val="Heading1"/>
      </w:pPr>
      <w:r>
        <w:t>PRINCIPAL THEMES</w:t>
      </w:r>
    </w:p>
    <w:p>
      <w:pPr>
        <w:ind w:left="259" w:hanging="202"/>
      </w:pPr>
      <w:r>
        <w:rPr>
          <w:b/>
        </w:rPr>
        <w:t xml:space="preserve">• </w:t>
      </w:r>
      <w:r>
        <w:t>The Shema confesses Yahweh’s unique/exclusive deity and demands undivided loyalty.</w:t>
      </w:r>
    </w:p>
    <w:p>
      <w:pPr>
        <w:ind w:left="259" w:hanging="202"/>
      </w:pPr>
      <w:r>
        <w:rPr>
          <w:b/>
        </w:rPr>
        <w:t xml:space="preserve">• </w:t>
      </w:r>
      <w:r>
        <w:t>`Echad` is the ordinary word “one”; “compound unity” is not its fixed lexical meaning.</w:t>
      </w:r>
    </w:p>
    <w:p>
      <w:pPr>
        <w:ind w:left="259" w:hanging="202"/>
      </w:pPr>
      <w:r>
        <w:rPr>
          <w:b/>
        </w:rPr>
        <w:t xml:space="preserve">• </w:t>
      </w:r>
      <w:r>
        <w:t>`Elohenu` means “our God” in this context, not “our angels/mighty ones.”</w:t>
      </w:r>
    </w:p>
    <w:p>
      <w:pPr>
        <w:ind w:left="259" w:hanging="202"/>
      </w:pPr>
      <w:r>
        <w:rPr>
          <w:b/>
        </w:rPr>
        <w:t xml:space="preserve">• </w:t>
      </w:r>
      <w:r>
        <w:t>Heart, nephesh and might express total devotion rather than detachable human components.</w:t>
      </w:r>
    </w:p>
    <w:p>
      <w:pPr>
        <w:ind w:left="259" w:hanging="202"/>
      </w:pPr>
      <w:r>
        <w:rPr>
          <w:b/>
        </w:rPr>
        <w:t xml:space="preserve">• </w:t>
      </w:r>
      <w:r>
        <w:t>`Shanan` supports deliberate, repeated teaching of children.</w:t>
      </w:r>
    </w:p>
    <w:p>
      <w:pPr>
        <w:ind w:left="259" w:hanging="202"/>
      </w:pPr>
      <w:r>
        <w:rPr>
          <w:b/>
        </w:rPr>
        <w:t xml:space="preserve">• </w:t>
      </w:r>
      <w:r>
        <w:t>Hand/frontlet/doorpost instructions have literal Jewish expression and spiritual application; neither should erase the other.</w:t>
      </w:r>
    </w:p>
    <w:p>
      <w:pPr>
        <w:ind w:left="259" w:hanging="202"/>
      </w:pPr>
      <w:r>
        <w:rPr>
          <w:b/>
        </w:rPr>
        <w:t xml:space="preserve">• </w:t>
      </w:r>
      <w:r>
        <w:t>Prosperity can make grace easy to forget.</w:t>
      </w:r>
    </w:p>
    <w:p>
      <w:pPr>
        <w:ind w:left="259" w:hanging="202"/>
      </w:pPr>
      <w:r>
        <w:rPr>
          <w:b/>
        </w:rPr>
        <w:t xml:space="preserve">• </w:t>
      </w:r>
      <w:r>
        <w:t>Massah warns against demanding that Yahweh prove Himself on human terms.</w:t>
      </w:r>
    </w:p>
    <w:p>
      <w:pPr>
        <w:ind w:left="259" w:hanging="202"/>
      </w:pPr>
      <w:r>
        <w:rPr>
          <w:b/>
        </w:rPr>
        <w:t xml:space="preserve">• </w:t>
      </w:r>
      <w:r>
        <w:t>The education of children begins with redemption: brought out in order to be brought in.</w:t>
      </w:r>
    </w:p>
    <w:p>
      <w:pPr>
        <w:ind w:left="259" w:hanging="202"/>
      </w:pPr>
      <w:r>
        <w:rPr>
          <w:b/>
        </w:rPr>
        <w:t xml:space="preserve">• </w:t>
      </w:r>
      <w:r>
        <w:t>Verse 25’s righteousness belongs to covenant obedience and should not be isolated into salvation-by-merit.</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6:3</w:t>
            </w:r>
          </w:p>
        </w:tc>
        <w:tc>
          <w:tcPr>
            <w:tcW w:type="dxa" w:w="3561"/>
            <w:vAlign w:val="top"/>
          </w:tcPr>
          <w:p>
            <w:pPr>
              <w:spacing w:after="0" w:line="223" w:lineRule="auto"/>
            </w:pPr>
            <w:r>
              <w:rPr>
                <w:rFonts w:ascii="Times New Roman" w:hAnsi="Times New Roman"/>
                <w:sz w:val="13"/>
              </w:rPr>
              <w:t>shama‘ + do</w:t>
            </w:r>
          </w:p>
        </w:tc>
        <w:tc>
          <w:tcPr>
            <w:tcW w:type="dxa" w:w="3561"/>
            <w:vAlign w:val="top"/>
          </w:tcPr>
          <w:p>
            <w:pPr>
              <w:spacing w:after="0" w:line="223" w:lineRule="auto"/>
            </w:pPr>
            <w:r>
              <w:rPr>
                <w:rFonts w:ascii="Times New Roman" w:hAnsi="Times New Roman"/>
                <w:sz w:val="13"/>
              </w:rPr>
              <w:t>Hear attentively with obedient response.</w:t>
            </w:r>
          </w:p>
        </w:tc>
      </w:tr>
      <w:tr>
        <w:tc>
          <w:tcPr>
            <w:tcW w:type="dxa" w:w="3561"/>
            <w:vAlign w:val="top"/>
          </w:tcPr>
          <w:p>
            <w:pPr>
              <w:spacing w:after="0" w:line="223" w:lineRule="auto"/>
            </w:pPr>
            <w:r>
              <w:rPr>
                <w:rFonts w:ascii="Times New Roman" w:hAnsi="Times New Roman"/>
                <w:sz w:val="13"/>
              </w:rPr>
              <w:t>Deut. 6:4</w:t>
            </w:r>
          </w:p>
        </w:tc>
        <w:tc>
          <w:tcPr>
            <w:tcW w:type="dxa" w:w="3561"/>
            <w:vAlign w:val="top"/>
          </w:tcPr>
          <w:p>
            <w:pPr>
              <w:spacing w:after="0" w:line="223" w:lineRule="auto"/>
            </w:pPr>
            <w:r>
              <w:rPr>
                <w:rFonts w:ascii="Times New Roman" w:hAnsi="Times New Roman"/>
                <w:sz w:val="13"/>
              </w:rPr>
              <w:t>Shema</w:t>
            </w:r>
          </w:p>
        </w:tc>
        <w:tc>
          <w:tcPr>
            <w:tcW w:type="dxa" w:w="3561"/>
            <w:vAlign w:val="top"/>
          </w:tcPr>
          <w:p>
            <w:pPr>
              <w:spacing w:after="0" w:line="223" w:lineRule="auto"/>
            </w:pPr>
            <w:r>
              <w:rPr>
                <w:rFonts w:ascii="Times New Roman" w:hAnsi="Times New Roman"/>
                <w:sz w:val="13"/>
              </w:rPr>
              <w:t>Yahweh our God, Yahweh one / Yahweh alone.</w:t>
            </w:r>
          </w:p>
        </w:tc>
      </w:tr>
      <w:tr>
        <w:tc>
          <w:tcPr>
            <w:tcW w:type="dxa" w:w="3561"/>
            <w:vAlign w:val="top"/>
          </w:tcPr>
          <w:p>
            <w:pPr>
              <w:spacing w:after="0" w:line="223" w:lineRule="auto"/>
            </w:pPr>
            <w:r>
              <w:rPr>
                <w:rFonts w:ascii="Times New Roman" w:hAnsi="Times New Roman"/>
                <w:sz w:val="13"/>
              </w:rPr>
              <w:t>Deut. 6:4</w:t>
            </w:r>
          </w:p>
        </w:tc>
        <w:tc>
          <w:tcPr>
            <w:tcW w:type="dxa" w:w="3561"/>
            <w:vAlign w:val="top"/>
          </w:tcPr>
          <w:p>
            <w:pPr>
              <w:spacing w:after="0" w:line="223" w:lineRule="auto"/>
            </w:pPr>
            <w:r>
              <w:rPr>
                <w:rFonts w:ascii="Times New Roman" w:hAnsi="Times New Roman"/>
                <w:sz w:val="13"/>
              </w:rPr>
              <w:t>echad</w:t>
            </w:r>
          </w:p>
        </w:tc>
        <w:tc>
          <w:tcPr>
            <w:tcW w:type="dxa" w:w="3561"/>
            <w:vAlign w:val="top"/>
          </w:tcPr>
          <w:p>
            <w:pPr>
              <w:spacing w:after="0" w:line="223" w:lineRule="auto"/>
            </w:pPr>
            <w:r>
              <w:rPr>
                <w:rFonts w:ascii="Times New Roman" w:hAnsi="Times New Roman"/>
                <w:sz w:val="13"/>
              </w:rPr>
              <w:t>Normal cardinal “one”; not lexically fixed as “compound unity.”</w:t>
            </w:r>
          </w:p>
        </w:tc>
      </w:tr>
      <w:tr>
        <w:tc>
          <w:tcPr>
            <w:tcW w:type="dxa" w:w="3561"/>
            <w:vAlign w:val="top"/>
          </w:tcPr>
          <w:p>
            <w:pPr>
              <w:spacing w:after="0" w:line="223" w:lineRule="auto"/>
            </w:pPr>
            <w:r>
              <w:rPr>
                <w:rFonts w:ascii="Times New Roman" w:hAnsi="Times New Roman"/>
                <w:sz w:val="13"/>
              </w:rPr>
              <w:t>Deut. 6:4</w:t>
            </w:r>
          </w:p>
        </w:tc>
        <w:tc>
          <w:tcPr>
            <w:tcW w:type="dxa" w:w="3561"/>
            <w:vAlign w:val="top"/>
          </w:tcPr>
          <w:p>
            <w:pPr>
              <w:spacing w:after="0" w:line="223" w:lineRule="auto"/>
            </w:pPr>
            <w:r>
              <w:rPr>
                <w:rFonts w:ascii="Times New Roman" w:hAnsi="Times New Roman"/>
                <w:sz w:val="13"/>
              </w:rPr>
              <w:t>Elohenu</w:t>
            </w:r>
          </w:p>
        </w:tc>
        <w:tc>
          <w:tcPr>
            <w:tcW w:type="dxa" w:w="3561"/>
            <w:vAlign w:val="top"/>
          </w:tcPr>
          <w:p>
            <w:pPr>
              <w:spacing w:after="0" w:line="223" w:lineRule="auto"/>
            </w:pPr>
            <w:r>
              <w:rPr>
                <w:rFonts w:ascii="Times New Roman" w:hAnsi="Times New Roman"/>
                <w:sz w:val="13"/>
              </w:rPr>
              <w:t>Our God in context.</w:t>
            </w:r>
          </w:p>
        </w:tc>
      </w:tr>
      <w:tr>
        <w:tc>
          <w:tcPr>
            <w:tcW w:type="dxa" w:w="3561"/>
            <w:vAlign w:val="top"/>
          </w:tcPr>
          <w:p>
            <w:pPr>
              <w:spacing w:after="0" w:line="223" w:lineRule="auto"/>
            </w:pPr>
            <w:r>
              <w:rPr>
                <w:rFonts w:ascii="Times New Roman" w:hAnsi="Times New Roman"/>
                <w:sz w:val="13"/>
              </w:rPr>
              <w:t>Deut. 6:5</w:t>
            </w:r>
          </w:p>
        </w:tc>
        <w:tc>
          <w:tcPr>
            <w:tcW w:type="dxa" w:w="3561"/>
            <w:vAlign w:val="top"/>
          </w:tcPr>
          <w:p>
            <w:pPr>
              <w:spacing w:after="0" w:line="223" w:lineRule="auto"/>
            </w:pPr>
            <w:r>
              <w:rPr>
                <w:rFonts w:ascii="Times New Roman" w:hAnsi="Times New Roman"/>
                <w:sz w:val="13"/>
              </w:rPr>
              <w:t>levav / nephesh / me’od</w:t>
            </w:r>
          </w:p>
        </w:tc>
        <w:tc>
          <w:tcPr>
            <w:tcW w:type="dxa" w:w="3561"/>
            <w:vAlign w:val="top"/>
          </w:tcPr>
          <w:p>
            <w:pPr>
              <w:spacing w:after="0" w:line="223" w:lineRule="auto"/>
            </w:pPr>
            <w:r>
              <w:rPr>
                <w:rFonts w:ascii="Times New Roman" w:hAnsi="Times New Roman"/>
                <w:sz w:val="13"/>
              </w:rPr>
              <w:t>Heart / life-self / might-strength.</w:t>
            </w:r>
          </w:p>
        </w:tc>
      </w:tr>
      <w:tr>
        <w:tc>
          <w:tcPr>
            <w:tcW w:type="dxa" w:w="3561"/>
            <w:vAlign w:val="top"/>
          </w:tcPr>
          <w:p>
            <w:pPr>
              <w:spacing w:after="0" w:line="223" w:lineRule="auto"/>
            </w:pPr>
            <w:r>
              <w:rPr>
                <w:rFonts w:ascii="Times New Roman" w:hAnsi="Times New Roman"/>
                <w:sz w:val="13"/>
              </w:rPr>
              <w:t>Matt. 22:37; Mark 12:29–30</w:t>
            </w:r>
          </w:p>
        </w:tc>
        <w:tc>
          <w:tcPr>
            <w:tcW w:type="dxa" w:w="3561"/>
            <w:vAlign w:val="top"/>
          </w:tcPr>
          <w:p>
            <w:pPr>
              <w:spacing w:after="0" w:line="223" w:lineRule="auto"/>
            </w:pPr>
            <w:r>
              <w:rPr>
                <w:rFonts w:ascii="Times New Roman" w:hAnsi="Times New Roman"/>
                <w:sz w:val="13"/>
              </w:rPr>
              <w:t>great commandment</w:t>
            </w:r>
          </w:p>
        </w:tc>
        <w:tc>
          <w:tcPr>
            <w:tcW w:type="dxa" w:w="3561"/>
            <w:vAlign w:val="top"/>
          </w:tcPr>
          <w:p>
            <w:pPr>
              <w:spacing w:after="0" w:line="223" w:lineRule="auto"/>
            </w:pPr>
            <w:r>
              <w:rPr>
                <w:rFonts w:ascii="Times New Roman" w:hAnsi="Times New Roman"/>
                <w:sz w:val="13"/>
              </w:rPr>
              <w:t>Jesus cites Shema/love command.</w:t>
            </w:r>
          </w:p>
        </w:tc>
      </w:tr>
      <w:tr>
        <w:tc>
          <w:tcPr>
            <w:tcW w:type="dxa" w:w="3561"/>
            <w:vAlign w:val="top"/>
          </w:tcPr>
          <w:p>
            <w:pPr>
              <w:spacing w:after="0" w:line="223" w:lineRule="auto"/>
            </w:pPr>
            <w:r>
              <w:rPr>
                <w:rFonts w:ascii="Times New Roman" w:hAnsi="Times New Roman"/>
                <w:sz w:val="13"/>
              </w:rPr>
              <w:t>Deut. 6:7</w:t>
            </w:r>
          </w:p>
        </w:tc>
        <w:tc>
          <w:tcPr>
            <w:tcW w:type="dxa" w:w="3561"/>
            <w:vAlign w:val="top"/>
          </w:tcPr>
          <w:p>
            <w:pPr>
              <w:spacing w:after="0" w:line="223" w:lineRule="auto"/>
            </w:pPr>
            <w:r>
              <w:rPr>
                <w:rFonts w:ascii="Times New Roman" w:hAnsi="Times New Roman"/>
                <w:sz w:val="13"/>
              </w:rPr>
              <w:t>shanan</w:t>
            </w:r>
          </w:p>
        </w:tc>
        <w:tc>
          <w:tcPr>
            <w:tcW w:type="dxa" w:w="3561"/>
            <w:vAlign w:val="top"/>
          </w:tcPr>
          <w:p>
            <w:pPr>
              <w:spacing w:after="0" w:line="223" w:lineRule="auto"/>
            </w:pPr>
            <w:r>
              <w:rPr>
                <w:rFonts w:ascii="Times New Roman" w:hAnsi="Times New Roman"/>
                <w:sz w:val="13"/>
              </w:rPr>
              <w:t>Sharpen/inculcate diligently.</w:t>
            </w:r>
          </w:p>
        </w:tc>
      </w:tr>
      <w:tr>
        <w:tc>
          <w:tcPr>
            <w:tcW w:type="dxa" w:w="3561"/>
            <w:vAlign w:val="top"/>
          </w:tcPr>
          <w:p>
            <w:pPr>
              <w:spacing w:after="0" w:line="223" w:lineRule="auto"/>
            </w:pPr>
            <w:r>
              <w:rPr>
                <w:rFonts w:ascii="Times New Roman" w:hAnsi="Times New Roman"/>
                <w:sz w:val="13"/>
              </w:rPr>
              <w:t>Deut. 6:8–9</w:t>
            </w:r>
          </w:p>
        </w:tc>
        <w:tc>
          <w:tcPr>
            <w:tcW w:type="dxa" w:w="3561"/>
            <w:vAlign w:val="top"/>
          </w:tcPr>
          <w:p>
            <w:pPr>
              <w:spacing w:after="0" w:line="223" w:lineRule="auto"/>
            </w:pPr>
            <w:r>
              <w:rPr>
                <w:rFonts w:ascii="Times New Roman" w:hAnsi="Times New Roman"/>
                <w:sz w:val="13"/>
              </w:rPr>
              <w:t>hand/frontlets/doorposts</w:t>
            </w:r>
          </w:p>
        </w:tc>
        <w:tc>
          <w:tcPr>
            <w:tcW w:type="dxa" w:w="3561"/>
            <w:vAlign w:val="top"/>
          </w:tcPr>
          <w:p>
            <w:pPr>
              <w:spacing w:after="0" w:line="223" w:lineRule="auto"/>
            </w:pPr>
            <w:r>
              <w:rPr>
                <w:rFonts w:ascii="Times New Roman" w:hAnsi="Times New Roman"/>
                <w:sz w:val="13"/>
              </w:rPr>
              <w:t>Literal covenant signs with broader life application.</w:t>
            </w:r>
          </w:p>
        </w:tc>
      </w:tr>
      <w:tr>
        <w:tc>
          <w:tcPr>
            <w:tcW w:type="dxa" w:w="3561"/>
            <w:vAlign w:val="top"/>
          </w:tcPr>
          <w:p>
            <w:pPr>
              <w:spacing w:after="0" w:line="223" w:lineRule="auto"/>
            </w:pPr>
            <w:r>
              <w:rPr>
                <w:rFonts w:ascii="Times New Roman" w:hAnsi="Times New Roman"/>
                <w:sz w:val="13"/>
              </w:rPr>
              <w:t>Deut. 6:12</w:t>
            </w:r>
          </w:p>
        </w:tc>
        <w:tc>
          <w:tcPr>
            <w:tcW w:type="dxa" w:w="3561"/>
            <w:vAlign w:val="top"/>
          </w:tcPr>
          <w:p>
            <w:pPr>
              <w:spacing w:after="0" w:line="223" w:lineRule="auto"/>
            </w:pPr>
            <w:r>
              <w:rPr>
                <w:rFonts w:ascii="Times New Roman" w:hAnsi="Times New Roman"/>
                <w:sz w:val="13"/>
              </w:rPr>
              <w:t>beware lest forget</w:t>
            </w:r>
          </w:p>
        </w:tc>
        <w:tc>
          <w:tcPr>
            <w:tcW w:type="dxa" w:w="3561"/>
            <w:vAlign w:val="top"/>
          </w:tcPr>
          <w:p>
            <w:pPr>
              <w:spacing w:after="0" w:line="223" w:lineRule="auto"/>
            </w:pPr>
            <w:r>
              <w:rPr>
                <w:rFonts w:ascii="Times New Roman" w:hAnsi="Times New Roman"/>
                <w:sz w:val="13"/>
              </w:rPr>
              <w:t>Prosperity danger.</w:t>
            </w:r>
          </w:p>
        </w:tc>
      </w:tr>
      <w:tr>
        <w:tc>
          <w:tcPr>
            <w:tcW w:type="dxa" w:w="3561"/>
            <w:vAlign w:val="top"/>
          </w:tcPr>
          <w:p>
            <w:pPr>
              <w:spacing w:after="0" w:line="223" w:lineRule="auto"/>
            </w:pPr>
            <w:r>
              <w:rPr>
                <w:rFonts w:ascii="Times New Roman" w:hAnsi="Times New Roman"/>
                <w:sz w:val="13"/>
              </w:rPr>
              <w:t>Deut. 6:13</w:t>
            </w:r>
          </w:p>
        </w:tc>
        <w:tc>
          <w:tcPr>
            <w:tcW w:type="dxa" w:w="3561"/>
            <w:vAlign w:val="top"/>
          </w:tcPr>
          <w:p>
            <w:pPr>
              <w:spacing w:after="0" w:line="223" w:lineRule="auto"/>
            </w:pPr>
            <w:r>
              <w:rPr>
                <w:rFonts w:ascii="Times New Roman" w:hAnsi="Times New Roman"/>
                <w:sz w:val="13"/>
              </w:rPr>
              <w:t>fear / serve / swear</w:t>
            </w:r>
          </w:p>
        </w:tc>
        <w:tc>
          <w:tcPr>
            <w:tcW w:type="dxa" w:w="3561"/>
            <w:vAlign w:val="top"/>
          </w:tcPr>
          <w:p>
            <w:pPr>
              <w:spacing w:after="0" w:line="223" w:lineRule="auto"/>
            </w:pPr>
            <w:r>
              <w:rPr>
                <w:rFonts w:ascii="Times New Roman" w:hAnsi="Times New Roman"/>
                <w:sz w:val="13"/>
              </w:rPr>
              <w:t>Exclusive covenant worship; cited by Jesus.</w:t>
            </w:r>
          </w:p>
        </w:tc>
      </w:tr>
      <w:tr>
        <w:tc>
          <w:tcPr>
            <w:tcW w:type="dxa" w:w="3561"/>
            <w:vAlign w:val="top"/>
          </w:tcPr>
          <w:p>
            <w:pPr>
              <w:spacing w:after="0" w:line="223" w:lineRule="auto"/>
            </w:pPr>
            <w:r>
              <w:rPr>
                <w:rFonts w:ascii="Times New Roman" w:hAnsi="Times New Roman"/>
                <w:sz w:val="13"/>
              </w:rPr>
              <w:t>Deut. 6:16</w:t>
            </w:r>
          </w:p>
        </w:tc>
        <w:tc>
          <w:tcPr>
            <w:tcW w:type="dxa" w:w="3561"/>
            <w:vAlign w:val="top"/>
          </w:tcPr>
          <w:p>
            <w:pPr>
              <w:spacing w:after="0" w:line="223" w:lineRule="auto"/>
            </w:pPr>
            <w:r>
              <w:rPr>
                <w:rFonts w:ascii="Times New Roman" w:hAnsi="Times New Roman"/>
                <w:sz w:val="13"/>
              </w:rPr>
              <w:t>Massah</w:t>
            </w:r>
          </w:p>
        </w:tc>
        <w:tc>
          <w:tcPr>
            <w:tcW w:type="dxa" w:w="3561"/>
            <w:vAlign w:val="top"/>
          </w:tcPr>
          <w:p>
            <w:pPr>
              <w:spacing w:after="0" w:line="223" w:lineRule="auto"/>
            </w:pPr>
            <w:r>
              <w:rPr>
                <w:rFonts w:ascii="Times New Roman" w:hAnsi="Times New Roman"/>
                <w:sz w:val="13"/>
              </w:rPr>
              <w:t>Compare Ex. 17; cited Matt. 4:7 / Luke 4:12.</w:t>
            </w:r>
          </w:p>
        </w:tc>
      </w:tr>
      <w:tr>
        <w:tc>
          <w:tcPr>
            <w:tcW w:type="dxa" w:w="3561"/>
            <w:vAlign w:val="top"/>
          </w:tcPr>
          <w:p>
            <w:pPr>
              <w:spacing w:after="0" w:line="223" w:lineRule="auto"/>
            </w:pPr>
            <w:r>
              <w:rPr>
                <w:rFonts w:ascii="Times New Roman" w:hAnsi="Times New Roman"/>
                <w:sz w:val="13"/>
              </w:rPr>
              <w:t>Deut. 6:20–23</w:t>
            </w:r>
          </w:p>
        </w:tc>
        <w:tc>
          <w:tcPr>
            <w:tcW w:type="dxa" w:w="3561"/>
            <w:vAlign w:val="top"/>
          </w:tcPr>
          <w:p>
            <w:pPr>
              <w:spacing w:after="0" w:line="223" w:lineRule="auto"/>
            </w:pPr>
            <w:r>
              <w:rPr>
                <w:rFonts w:ascii="Times New Roman" w:hAnsi="Times New Roman"/>
                <w:sz w:val="13"/>
              </w:rPr>
              <w:t>child’s answer</w:t>
            </w:r>
          </w:p>
        </w:tc>
        <w:tc>
          <w:tcPr>
            <w:tcW w:type="dxa" w:w="3561"/>
            <w:vAlign w:val="top"/>
          </w:tcPr>
          <w:p>
            <w:pPr>
              <w:spacing w:after="0" w:line="223" w:lineRule="auto"/>
            </w:pPr>
            <w:r>
              <w:rPr>
                <w:rFonts w:ascii="Times New Roman" w:hAnsi="Times New Roman"/>
                <w:sz w:val="13"/>
              </w:rPr>
              <w:t>Redemption narrative explains law.</w:t>
            </w:r>
          </w:p>
        </w:tc>
      </w:tr>
      <w:tr>
        <w:tc>
          <w:tcPr>
            <w:tcW w:type="dxa" w:w="3561"/>
            <w:vAlign w:val="top"/>
          </w:tcPr>
          <w:p>
            <w:pPr>
              <w:spacing w:after="0" w:line="223" w:lineRule="auto"/>
            </w:pPr>
            <w:r>
              <w:rPr>
                <w:rFonts w:ascii="Times New Roman" w:hAnsi="Times New Roman"/>
                <w:sz w:val="13"/>
              </w:rPr>
              <w:t>Deut. 6:23</w:t>
            </w:r>
          </w:p>
        </w:tc>
        <w:tc>
          <w:tcPr>
            <w:tcW w:type="dxa" w:w="3561"/>
            <w:vAlign w:val="top"/>
          </w:tcPr>
          <w:p>
            <w:pPr>
              <w:spacing w:after="0" w:line="223" w:lineRule="auto"/>
            </w:pPr>
            <w:r>
              <w:rPr>
                <w:rFonts w:ascii="Times New Roman" w:hAnsi="Times New Roman"/>
                <w:sz w:val="13"/>
              </w:rPr>
              <w:t>brought out to bring in</w:t>
            </w:r>
          </w:p>
        </w:tc>
        <w:tc>
          <w:tcPr>
            <w:tcW w:type="dxa" w:w="3561"/>
            <w:vAlign w:val="top"/>
          </w:tcPr>
          <w:p>
            <w:pPr>
              <w:spacing w:after="0" w:line="223" w:lineRule="auto"/>
            </w:pPr>
            <w:r>
              <w:rPr>
                <w:rFonts w:ascii="Times New Roman" w:hAnsi="Times New Roman"/>
                <w:sz w:val="13"/>
              </w:rPr>
              <w:t>Purpose of Exodus.</w:t>
            </w:r>
          </w:p>
        </w:tc>
      </w:tr>
      <w:tr>
        <w:tc>
          <w:tcPr>
            <w:tcW w:type="dxa" w:w="3561"/>
            <w:vAlign w:val="top"/>
          </w:tcPr>
          <w:p>
            <w:pPr>
              <w:spacing w:after="0" w:line="223" w:lineRule="auto"/>
            </w:pPr>
            <w:r>
              <w:rPr>
                <w:rFonts w:ascii="Times New Roman" w:hAnsi="Times New Roman"/>
                <w:sz w:val="13"/>
              </w:rPr>
              <w:t>Deut. 6:24</w:t>
            </w:r>
          </w:p>
        </w:tc>
        <w:tc>
          <w:tcPr>
            <w:tcW w:type="dxa" w:w="3561"/>
            <w:vAlign w:val="top"/>
          </w:tcPr>
          <w:p>
            <w:pPr>
              <w:spacing w:after="0" w:line="223" w:lineRule="auto"/>
            </w:pPr>
            <w:r>
              <w:rPr>
                <w:rFonts w:ascii="Times New Roman" w:hAnsi="Times New Roman"/>
                <w:sz w:val="13"/>
              </w:rPr>
              <w:t>for our good</w:t>
            </w:r>
          </w:p>
        </w:tc>
        <w:tc>
          <w:tcPr>
            <w:tcW w:type="dxa" w:w="3561"/>
            <w:vAlign w:val="top"/>
          </w:tcPr>
          <w:p>
            <w:pPr>
              <w:spacing w:after="0" w:line="223" w:lineRule="auto"/>
            </w:pPr>
            <w:r>
              <w:rPr>
                <w:rFonts w:ascii="Times New Roman" w:hAnsi="Times New Roman"/>
                <w:sz w:val="13"/>
              </w:rPr>
              <w:t>Commandment as covenant benefit.</w:t>
            </w:r>
          </w:p>
        </w:tc>
      </w:tr>
      <w:tr>
        <w:tc>
          <w:tcPr>
            <w:tcW w:type="dxa" w:w="3561"/>
            <w:vAlign w:val="top"/>
          </w:tcPr>
          <w:p>
            <w:pPr>
              <w:spacing w:after="0" w:line="223" w:lineRule="auto"/>
            </w:pPr>
            <w:r>
              <w:rPr>
                <w:rFonts w:ascii="Times New Roman" w:hAnsi="Times New Roman"/>
                <w:sz w:val="13"/>
              </w:rPr>
              <w:t>Deut. 6:25</w:t>
            </w:r>
          </w:p>
        </w:tc>
        <w:tc>
          <w:tcPr>
            <w:tcW w:type="dxa" w:w="3561"/>
            <w:vAlign w:val="top"/>
          </w:tcPr>
          <w:p>
            <w:pPr>
              <w:spacing w:after="0" w:line="223" w:lineRule="auto"/>
            </w:pPr>
            <w:r>
              <w:rPr>
                <w:rFonts w:ascii="Times New Roman" w:hAnsi="Times New Roman"/>
                <w:sz w:val="13"/>
              </w:rPr>
              <w:t>our righteousness</w:t>
            </w:r>
          </w:p>
        </w:tc>
        <w:tc>
          <w:tcPr>
            <w:tcW w:type="dxa" w:w="3561"/>
            <w:vAlign w:val="top"/>
          </w:tcPr>
          <w:p>
            <w:pPr>
              <w:spacing w:after="0" w:line="223" w:lineRule="auto"/>
            </w:pPr>
            <w:r>
              <w:rPr>
                <w:rFonts w:ascii="Times New Roman" w:hAnsi="Times New Roman"/>
                <w:sz w:val="13"/>
              </w:rPr>
              <w:t>Covenant right-doing, not meritorious eternal-life scheme.</w:t>
            </w:r>
          </w:p>
        </w:tc>
      </w:tr>
    </w:tbl>
    <w:p>
      <w:pPr>
        <w:pStyle w:val="Heading1"/>
      </w:pPr>
      <w:r>
        <w:t>RESIDUAL UNCERTAINTIES</w:t>
      </w:r>
    </w:p>
    <w:p>
      <w:pPr/>
      <w:r>
        <w:rPr>
          <w:i w:val="0"/>
        </w:rPr>
        <w:t>The exact syntactic preference for translating the Shema (“Yahweh is one” versus “Yahweh alone”) remains debated, but both exclude rival deities and demand exclusive allegiance. Mansfield’s “compound unity” and Elohim-as-multiplicity claims are not retained as lexical facts.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