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7</w:t>
      </w:r>
    </w:p>
    <w:p>
      <w:pPr>
        <w:pStyle w:val="Subtitle"/>
      </w:pPr>
      <w:r>
        <w:t>ISRAEL A HOLY PEOPLE • CANAANITE IDOLATRY MUST NOT REMAIN • NO INTERMARRIAGE THAT TURNS FROM YAHWEH • SEGULLAH • CHOSEN IN LOVE, NOT SIZE • LITTLE BY LITTLE • DO NOT COVET THE IDOLS’ SILVER AND GOLD</w:t>
      </w:r>
    </w:p>
    <w:p>
      <w:pPr/>
      <w:r>
        <w:rPr>
          <w:i/>
        </w:rPr>
        <w:t>H. P. Mansfield Bible notes — checked and arranged in verse-by-verse Expositor style</w:t>
      </w:r>
    </w:p>
    <w:p>
      <w:pPr/>
      <w:r>
        <w:rPr>
          <w:i w:val="0"/>
        </w:rPr>
        <w:t>Source: HPB 04-Deu01-Jud04.PDF pp. 14–16; cross-checked with Mansfield’s Deuteronomy Expositor Chapter 7.</w:t>
      </w:r>
    </w:p>
    <w:p>
      <w:pPr>
        <w:pStyle w:val="Heading1"/>
      </w:pPr>
      <w:r>
        <w:t>CHAPTER OVERVIEW</w:t>
      </w:r>
    </w:p>
    <w:p>
      <w:pPr/>
      <w:r>
        <w:rPr>
          <w:i w:val="0"/>
        </w:rPr>
        <w:t>Israel enters Canaan as a holy covenant people, not as an unrestricted imperial power. The seven named Canaanite nations fall under a specific Divine conquest judgment; their worship system must not be allowed to absorb Israel.</w:t>
      </w:r>
    </w:p>
    <w:p>
      <w:pPr/>
      <w:r>
        <w:rPr>
          <w:i w:val="0"/>
        </w:rPr>
        <w:t>The theological centre is verses 6–8: election is not proof of Israel’s superiority. Yahweh set His love upon Israel and kept the oath made to the fathers.</w:t>
      </w:r>
    </w:p>
    <w:p>
      <w:pPr>
        <w:pStyle w:val="Heading1"/>
      </w:pPr>
      <w:r>
        <w:t>SEVEN NATIONS AND NO RELIGIOUS COMPROMISE — DEUTERONOMY 7:1–5</w:t>
      </w:r>
    </w:p>
    <w:p>
      <w:pPr>
        <w:pStyle w:val="Heading2"/>
      </w:pPr>
      <w:r>
        <w:t>Deuteronomy 7:1–2 — cherem in the Canaan mandate</w:t>
      </w:r>
    </w:p>
    <w:p>
      <w:pPr/>
      <w:r>
        <w:rPr>
          <w:i w:val="0"/>
        </w:rPr>
        <w:t>Hittite, Girgashite, Amorite, Canaanite, Perizzite, Hivite and Jebusite are named. When Yahweh gives them before Israel, they are placed under `cherem`, devoted to destruction, and Israel is forbidden to make covenant with them in this conquest setting.</w:t>
      </w:r>
    </w:p>
    <w:p>
      <w:pPr/>
      <w:r>
        <w:rPr>
          <w:i w:val="0"/>
        </w:rPr>
        <w:t>This is a severe, historically specific theocratic judgment tied to Canaan. It is not a command authorising believers to attack other ethnic or religious communities.</w:t>
      </w:r>
    </w:p>
    <w:p>
      <w:pPr>
        <w:pStyle w:val="Heading2"/>
      </w:pPr>
      <w:r>
        <w:t>Deuteronomy 7:2 — “show no mercy” in context</w:t>
      </w:r>
    </w:p>
    <w:p>
      <w:pPr/>
      <w:r>
        <w:rPr>
          <w:i w:val="0"/>
        </w:rPr>
        <w:t>The prohibition prevents Israel from preserving the hostile idolatrous order contrary to Yahweh’s judgment. It should not be detached from the Canaan conquest context and turned into a general ethic of cruelty.</w:t>
      </w:r>
    </w:p>
    <w:p>
      <w:pPr>
        <w:pStyle w:val="Heading2"/>
      </w:pPr>
      <w:r>
        <w:t>Deuteronomy 7:3–4 — intermarriage forbidden because of apostasy</w:t>
      </w:r>
    </w:p>
    <w:p>
      <w:pPr/>
      <w:r>
        <w:rPr>
          <w:i w:val="0"/>
        </w:rPr>
        <w:t>Marriage exchange with the Canaanite populations is forbidden because “they will turn away thy son from following me, that they may serve other gods.”</w:t>
      </w:r>
    </w:p>
    <w:p>
      <w:pPr/>
      <w:r>
        <w:rPr>
          <w:i w:val="0"/>
        </w:rPr>
        <w:t>The stated problem is covenant apostasy, not an eternal doctrine of ethnic purity. Scripture can incorporate foreigners who turn in faith to Israel’s God, as Rahab and later Ruth demonstrate.</w:t>
      </w:r>
    </w:p>
    <w:p>
      <w:pPr>
        <w:pStyle w:val="Heading2"/>
      </w:pPr>
      <w:r>
        <w:t>Deuteronomy 7:5 — altars, pillars, Asherim and images</w:t>
      </w:r>
    </w:p>
    <w:p>
      <w:pPr/>
      <w:r>
        <w:rPr>
          <w:i w:val="0"/>
        </w:rPr>
        <w:t>Israel must break altars, smash sacred pillars, cut down `asherim` and burn carved images.</w:t>
      </w:r>
    </w:p>
    <w:p>
      <w:pPr/>
      <w:r>
        <w:rPr>
          <w:i w:val="0"/>
        </w:rPr>
        <w:t>KJV “groves” is misleading: `asherim` are cultic wooden poles/objects associated with Asherah, not simply stands of trees.</w:t>
      </w:r>
    </w:p>
    <w:p>
      <w:pPr>
        <w:pStyle w:val="Heading1"/>
      </w:pPr>
      <w:r>
        <w:t>WHY ISRAEL WAS CHOSEN — DEUTERONOMY 7:6–11</w:t>
      </w:r>
    </w:p>
    <w:p>
      <w:pPr>
        <w:pStyle w:val="Heading2"/>
      </w:pPr>
      <w:r>
        <w:t>Deuteronomy 7:6 — holy and segullah</w:t>
      </w:r>
    </w:p>
    <w:p>
      <w:pPr/>
      <w:r>
        <w:rPr>
          <w:i w:val="0"/>
        </w:rPr>
        <w:t>Israel is holy to Yahweh and chosen as His `segullah`, treasured/special possession, from among the peoples.</w:t>
      </w:r>
    </w:p>
    <w:p>
      <w:pPr/>
      <w:r>
        <w:rPr>
          <w:i w:val="0"/>
        </w:rPr>
        <w:t>Privilege is vocation to holiness, not inherent ethnic superiority.</w:t>
      </w:r>
    </w:p>
    <w:p>
      <w:pPr>
        <w:pStyle w:val="Heading2"/>
      </w:pPr>
      <w:r>
        <w:t>Deuteronomy 7:7–8 — not because you were numerous</w:t>
      </w:r>
    </w:p>
    <w:p>
      <w:pPr/>
      <w:r>
        <w:rPr>
          <w:i w:val="0"/>
        </w:rPr>
        <w:t>Yahweh did not set affection on Israel because it was larger; it was the fewest/smallest. He acted because He loved them and kept the oath to the fathers, redeeming them from Pharaoh.</w:t>
      </w:r>
    </w:p>
    <w:p>
      <w:pPr/>
      <w:r>
        <w:rPr>
          <w:i w:val="0"/>
        </w:rPr>
        <w:t>Election is explicitly grounded in Divine love and covenant faithfulness.</w:t>
      </w:r>
    </w:p>
    <w:p>
      <w:pPr>
        <w:pStyle w:val="Heading2"/>
      </w:pPr>
      <w:r>
        <w:t>Deuteronomy 7:9 — faithful God and hesed</w:t>
      </w:r>
    </w:p>
    <w:p>
      <w:pPr/>
      <w:r>
        <w:rPr>
          <w:i w:val="0"/>
        </w:rPr>
        <w:t>Yahweh is the faithful God who keeps covenant and `hesed`, steadfast/covenant love, to a thousand generations with those who love Him and keep His commands.</w:t>
      </w:r>
    </w:p>
    <w:p>
      <w:pPr>
        <w:pStyle w:val="Heading2"/>
      </w:pPr>
      <w:r>
        <w:t>Deuteronomy 7:10–11 — covenant judgment is also real</w:t>
      </w:r>
    </w:p>
    <w:p>
      <w:pPr/>
      <w:r>
        <w:rPr>
          <w:i w:val="0"/>
        </w:rPr>
        <w:t>He repays those who hate Him to their face; Israel must therefore keep the commands. Election never means immunity from judgment.</w:t>
      </w:r>
    </w:p>
    <w:p>
      <w:pPr>
        <w:pStyle w:val="Heading1"/>
      </w:pPr>
      <w:r>
        <w:t>COVENANT BLESSING — DEUTERONOMY 7:12–16</w:t>
      </w:r>
    </w:p>
    <w:p>
      <w:pPr>
        <w:pStyle w:val="Heading2"/>
      </w:pPr>
      <w:r>
        <w:t>Deuteronomy 7:12–15 — blessing in Israel’s land covenant</w:t>
      </w:r>
    </w:p>
    <w:p>
      <w:pPr/>
      <w:r>
        <w:rPr>
          <w:i w:val="0"/>
        </w:rPr>
        <w:t>Listening and doing bring covenant love, fruitfulness, crops, livestock and protection from diseases in the land.</w:t>
      </w:r>
    </w:p>
    <w:p>
      <w:pPr/>
      <w:r>
        <w:rPr>
          <w:i w:val="0"/>
        </w:rPr>
        <w:t>These are specific blessings promised to covenant Israel in its agricultural national setting. They should not be converted into a modern prosperity-gospel guarantee that faithful individuals will always become wealthy or healthy.</w:t>
      </w:r>
    </w:p>
    <w:p>
      <w:pPr>
        <w:pStyle w:val="Heading2"/>
      </w:pPr>
      <w:r>
        <w:t>Deuteronomy 7:16 — do not preserve idolatrous snare</w:t>
      </w:r>
    </w:p>
    <w:p>
      <w:pPr/>
      <w:r>
        <w:rPr>
          <w:i w:val="0"/>
        </w:rPr>
        <w:t>Israel must not allow false gods to remain as snares through misplaced pity that overturns Yahweh’s conquest instruction.</w:t>
      </w:r>
    </w:p>
    <w:p>
      <w:pPr>
        <w:pStyle w:val="Heading1"/>
      </w:pPr>
      <w:r>
        <w:t>DO NOT FEAR STRONGER PEOPLES — DEUTERONOMY 7:17–24</w:t>
      </w:r>
    </w:p>
    <w:p>
      <w:pPr>
        <w:pStyle w:val="Heading2"/>
      </w:pPr>
      <w:r>
        <w:t>Deuteronomy 7:17–19 — remember Egypt</w:t>
      </w:r>
    </w:p>
    <w:p>
      <w:pPr/>
      <w:r>
        <w:rPr>
          <w:i w:val="0"/>
        </w:rPr>
        <w:t>If Israel fears greater nations, it must remember Pharaoh, signs, wonders and Yahweh’s mighty hand. Past redemption supplies courage for present obedience.</w:t>
      </w:r>
    </w:p>
    <w:p>
      <w:pPr>
        <w:pStyle w:val="Heading2"/>
      </w:pPr>
      <w:r>
        <w:t>Deuteronomy 7:20 — the hornet</w:t>
      </w:r>
    </w:p>
    <w:p>
      <w:pPr/>
      <w:r>
        <w:rPr>
          <w:i w:val="0"/>
        </w:rPr>
        <w:t>Yahweh says He will send the `tsir‘ah`, hornet, until survivors hiding from Israel perish.</w:t>
      </w:r>
    </w:p>
    <w:p>
      <w:pPr/>
      <w:r>
        <w:rPr>
          <w:i w:val="0"/>
        </w:rPr>
        <w:t>The term may denote literal hornets or function figuratively for terror/panic or another instrument of Divine harassment. Exodus 23:28 and Joshua 24:12 repeat the image; the exact mechanism is not explained.</w:t>
      </w:r>
    </w:p>
    <w:p>
      <w:pPr>
        <w:pStyle w:val="Heading2"/>
      </w:pPr>
      <w:r>
        <w:t>Deuteronomy 7:21–24 — great and terrible God in the midst</w:t>
      </w:r>
    </w:p>
    <w:p>
      <w:pPr/>
      <w:r>
        <w:rPr>
          <w:i w:val="0"/>
        </w:rPr>
        <w:t>Israel need not dread the nations because Yahweh is in their midst. Kings and peoples will be delivered progressively.</w:t>
      </w:r>
    </w:p>
    <w:p>
      <w:pPr>
        <w:pStyle w:val="Heading2"/>
      </w:pPr>
      <w:r>
        <w:t>Deuteronomy 7:22 — “little by little”</w:t>
      </w:r>
    </w:p>
    <w:p>
      <w:pPr/>
      <w:r>
        <w:rPr>
          <w:i w:val="0"/>
        </w:rPr>
        <w:t>Yahweh will clear the nations little by little so the land does not become suddenly empty and wild animals multiply.</w:t>
      </w:r>
    </w:p>
    <w:p>
      <w:pPr/>
      <w:r>
        <w:rPr>
          <w:i w:val="0"/>
        </w:rPr>
        <w:t>Divine promise can be fulfilled through staged process rather than instant completion.</w:t>
      </w:r>
    </w:p>
    <w:p>
      <w:pPr>
        <w:pStyle w:val="Heading1"/>
      </w:pPr>
      <w:r>
        <w:t>IDOL WEALTH MUST NOT BECOME A SNARE — DEUTERONOMY 7:25–26</w:t>
      </w:r>
    </w:p>
    <w:p>
      <w:pPr>
        <w:pStyle w:val="Heading2"/>
      </w:pPr>
      <w:r>
        <w:t>Deuteronomy 7:25 — burn images; do not desire their metal</w:t>
      </w:r>
    </w:p>
    <w:p>
      <w:pPr/>
      <w:r>
        <w:rPr>
          <w:i w:val="0"/>
        </w:rPr>
        <w:t>Israel must burn carved images and must not covet the silver or gold on them, lest the very material value of idolatry become a trap.</w:t>
      </w:r>
    </w:p>
    <w:p>
      <w:pPr>
        <w:pStyle w:val="Heading2"/>
      </w:pPr>
      <w:r>
        <w:t>Deuteronomy 7:26 — do not bring the abomination home</w:t>
      </w:r>
    </w:p>
    <w:p>
      <w:pPr/>
      <w:r>
        <w:rPr>
          <w:i w:val="0"/>
        </w:rPr>
        <w:t>What stands under `cherem` must not be brought into an Israelite house for possession. Israel must detest the idolatrous object rather than domesticate it as treasure.</w:t>
      </w:r>
    </w:p>
    <w:p>
      <w:pPr>
        <w:pStyle w:val="Heading1"/>
      </w:pPr>
      <w:r>
        <w:t>PRINCIPAL THEMES</w:t>
      </w:r>
    </w:p>
    <w:p>
      <w:pPr>
        <w:ind w:left="259" w:hanging="202"/>
      </w:pPr>
      <w:r>
        <w:rPr>
          <w:b/>
        </w:rPr>
        <w:t xml:space="preserve">• </w:t>
      </w:r>
      <w:r>
        <w:t>The seven-nation conquest command is historically specific and cannot be universalised.</w:t>
      </w:r>
    </w:p>
    <w:p>
      <w:pPr>
        <w:ind w:left="259" w:hanging="202"/>
      </w:pPr>
      <w:r>
        <w:rPr>
          <w:b/>
        </w:rPr>
        <w:t xml:space="preserve">• </w:t>
      </w:r>
      <w:r>
        <w:t>Intermarriage is forbidden because it leads to other gods; the concern is covenant fidelity rather than racial purity.</w:t>
      </w:r>
    </w:p>
    <w:p>
      <w:pPr>
        <w:ind w:left="259" w:hanging="202"/>
      </w:pPr>
      <w:r>
        <w:rPr>
          <w:b/>
        </w:rPr>
        <w:t xml:space="preserve">• </w:t>
      </w:r>
      <w:r>
        <w:t>KJV “groves” should be understood as Asherah cult objects/poles.</w:t>
      </w:r>
    </w:p>
    <w:p>
      <w:pPr>
        <w:ind w:left="259" w:hanging="202"/>
      </w:pPr>
      <w:r>
        <w:rPr>
          <w:b/>
        </w:rPr>
        <w:t xml:space="preserve">• </w:t>
      </w:r>
      <w:r>
        <w:t>`segullah` means treasured/special possession.</w:t>
      </w:r>
    </w:p>
    <w:p>
      <w:pPr>
        <w:ind w:left="259" w:hanging="202"/>
      </w:pPr>
      <w:r>
        <w:rPr>
          <w:b/>
        </w:rPr>
        <w:t xml:space="preserve">• </w:t>
      </w:r>
      <w:r>
        <w:t>Election is grounded in Yahweh’s love and oath, not Israel’s size or merit.</w:t>
      </w:r>
    </w:p>
    <w:p>
      <w:pPr>
        <w:ind w:left="259" w:hanging="202"/>
      </w:pPr>
      <w:r>
        <w:rPr>
          <w:b/>
        </w:rPr>
        <w:t xml:space="preserve">• </w:t>
      </w:r>
      <w:r>
        <w:t>`hesed` is covenantally loyal/steadfast love.</w:t>
      </w:r>
    </w:p>
    <w:p>
      <w:pPr>
        <w:ind w:left="259" w:hanging="202"/>
      </w:pPr>
      <w:r>
        <w:rPr>
          <w:b/>
        </w:rPr>
        <w:t xml:space="preserve">• </w:t>
      </w:r>
      <w:r>
        <w:t>Land, fertility and health blessings belong to Israel’s covenant setting and are not a blanket prosperity promise.</w:t>
      </w:r>
    </w:p>
    <w:p>
      <w:pPr>
        <w:ind w:left="259" w:hanging="202"/>
      </w:pPr>
      <w:r>
        <w:rPr>
          <w:b/>
        </w:rPr>
        <w:t xml:space="preserve">• </w:t>
      </w:r>
      <w:r>
        <w:t>The `tsir‘ah` or hornet is not precisely identified in operation.</w:t>
      </w:r>
    </w:p>
    <w:p>
      <w:pPr>
        <w:ind w:left="259" w:hanging="202"/>
      </w:pPr>
      <w:r>
        <w:rPr>
          <w:b/>
        </w:rPr>
        <w:t xml:space="preserve">• </w:t>
      </w:r>
      <w:r>
        <w:t>Conquest may occur “little by little.”</w:t>
      </w:r>
    </w:p>
    <w:p>
      <w:pPr>
        <w:ind w:left="259" w:hanging="202"/>
      </w:pPr>
      <w:r>
        <w:rPr>
          <w:b/>
        </w:rPr>
        <w:t xml:space="preserve">• </w:t>
      </w:r>
      <w:r>
        <w:t>Idolatry can snare through economic attractiveness as well as explicit worship.</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7:1</w:t>
            </w:r>
          </w:p>
        </w:tc>
        <w:tc>
          <w:tcPr>
            <w:tcW w:type="dxa" w:w="3561"/>
            <w:vAlign w:val="top"/>
          </w:tcPr>
          <w:p>
            <w:pPr>
              <w:spacing w:after="0" w:line="223" w:lineRule="auto"/>
            </w:pPr>
            <w:r>
              <w:rPr>
                <w:rFonts w:ascii="Times New Roman" w:hAnsi="Times New Roman"/>
                <w:sz w:val="13"/>
              </w:rPr>
              <w:t>seven Canaanite nations</w:t>
            </w:r>
          </w:p>
        </w:tc>
        <w:tc>
          <w:tcPr>
            <w:tcW w:type="dxa" w:w="3561"/>
            <w:vAlign w:val="top"/>
          </w:tcPr>
          <w:p>
            <w:pPr>
              <w:spacing w:after="0" w:line="223" w:lineRule="auto"/>
            </w:pPr>
            <w:r>
              <w:rPr>
                <w:rFonts w:ascii="Times New Roman" w:hAnsi="Times New Roman"/>
                <w:sz w:val="13"/>
              </w:rPr>
              <w:t>Specific conquest list.</w:t>
            </w:r>
          </w:p>
        </w:tc>
      </w:tr>
      <w:tr>
        <w:tc>
          <w:tcPr>
            <w:tcW w:type="dxa" w:w="3561"/>
            <w:vAlign w:val="top"/>
          </w:tcPr>
          <w:p>
            <w:pPr>
              <w:spacing w:after="0" w:line="223" w:lineRule="auto"/>
            </w:pPr>
            <w:r>
              <w:rPr>
                <w:rFonts w:ascii="Times New Roman" w:hAnsi="Times New Roman"/>
                <w:sz w:val="13"/>
              </w:rPr>
              <w:t>Deut. 7:2</w:t>
            </w:r>
          </w:p>
        </w:tc>
        <w:tc>
          <w:tcPr>
            <w:tcW w:type="dxa" w:w="3561"/>
            <w:vAlign w:val="top"/>
          </w:tcPr>
          <w:p>
            <w:pPr>
              <w:spacing w:after="0" w:line="223" w:lineRule="auto"/>
            </w:pPr>
            <w:r>
              <w:rPr>
                <w:rFonts w:ascii="Times New Roman" w:hAnsi="Times New Roman"/>
                <w:sz w:val="13"/>
              </w:rPr>
              <w:t>cherem</w:t>
            </w:r>
          </w:p>
        </w:tc>
        <w:tc>
          <w:tcPr>
            <w:tcW w:type="dxa" w:w="3561"/>
            <w:vAlign w:val="top"/>
          </w:tcPr>
          <w:p>
            <w:pPr>
              <w:spacing w:after="0" w:line="223" w:lineRule="auto"/>
            </w:pPr>
            <w:r>
              <w:rPr>
                <w:rFonts w:ascii="Times New Roman" w:hAnsi="Times New Roman"/>
                <w:sz w:val="13"/>
              </w:rPr>
              <w:t>Devoted-destruction judgment; not universal violence.</w:t>
            </w:r>
          </w:p>
        </w:tc>
      </w:tr>
      <w:tr>
        <w:tc>
          <w:tcPr>
            <w:tcW w:type="dxa" w:w="3561"/>
            <w:vAlign w:val="top"/>
          </w:tcPr>
          <w:p>
            <w:pPr>
              <w:spacing w:after="0" w:line="223" w:lineRule="auto"/>
            </w:pPr>
            <w:r>
              <w:rPr>
                <w:rFonts w:ascii="Times New Roman" w:hAnsi="Times New Roman"/>
                <w:sz w:val="13"/>
              </w:rPr>
              <w:t>Deut. 7:3–4</w:t>
            </w:r>
          </w:p>
        </w:tc>
        <w:tc>
          <w:tcPr>
            <w:tcW w:type="dxa" w:w="3561"/>
            <w:vAlign w:val="top"/>
          </w:tcPr>
          <w:p>
            <w:pPr>
              <w:spacing w:after="0" w:line="223" w:lineRule="auto"/>
            </w:pPr>
            <w:r>
              <w:rPr>
                <w:rFonts w:ascii="Times New Roman" w:hAnsi="Times New Roman"/>
                <w:sz w:val="13"/>
              </w:rPr>
              <w:t>intermarriage reason</w:t>
            </w:r>
          </w:p>
        </w:tc>
        <w:tc>
          <w:tcPr>
            <w:tcW w:type="dxa" w:w="3561"/>
            <w:vAlign w:val="top"/>
          </w:tcPr>
          <w:p>
            <w:pPr>
              <w:spacing w:after="0" w:line="223" w:lineRule="auto"/>
            </w:pPr>
            <w:r>
              <w:rPr>
                <w:rFonts w:ascii="Times New Roman" w:hAnsi="Times New Roman"/>
                <w:sz w:val="13"/>
              </w:rPr>
              <w:t>Would turn children to other gods.</w:t>
            </w:r>
          </w:p>
        </w:tc>
      </w:tr>
      <w:tr>
        <w:tc>
          <w:tcPr>
            <w:tcW w:type="dxa" w:w="3561"/>
            <w:vAlign w:val="top"/>
          </w:tcPr>
          <w:p>
            <w:pPr>
              <w:spacing w:after="0" w:line="223" w:lineRule="auto"/>
            </w:pPr>
            <w:r>
              <w:rPr>
                <w:rFonts w:ascii="Times New Roman" w:hAnsi="Times New Roman"/>
                <w:sz w:val="13"/>
              </w:rPr>
              <w:t>Rahab / Ruth</w:t>
            </w:r>
          </w:p>
        </w:tc>
        <w:tc>
          <w:tcPr>
            <w:tcW w:type="dxa" w:w="3561"/>
            <w:vAlign w:val="top"/>
          </w:tcPr>
          <w:p>
            <w:pPr>
              <w:spacing w:after="0" w:line="223" w:lineRule="auto"/>
            </w:pPr>
            <w:r>
              <w:rPr>
                <w:rFonts w:ascii="Times New Roman" w:hAnsi="Times New Roman"/>
                <w:sz w:val="13"/>
              </w:rPr>
              <w:t>covenant incorporation</w:t>
            </w:r>
          </w:p>
        </w:tc>
        <w:tc>
          <w:tcPr>
            <w:tcW w:type="dxa" w:w="3561"/>
            <w:vAlign w:val="top"/>
          </w:tcPr>
          <w:p>
            <w:pPr>
              <w:spacing w:after="0" w:line="223" w:lineRule="auto"/>
            </w:pPr>
            <w:r>
              <w:rPr>
                <w:rFonts w:ascii="Times New Roman" w:hAnsi="Times New Roman"/>
                <w:sz w:val="13"/>
              </w:rPr>
              <w:t>Foreign origin itself is not the stated problem.</w:t>
            </w:r>
          </w:p>
        </w:tc>
      </w:tr>
      <w:tr>
        <w:tc>
          <w:tcPr>
            <w:tcW w:type="dxa" w:w="3561"/>
            <w:vAlign w:val="top"/>
          </w:tcPr>
          <w:p>
            <w:pPr>
              <w:spacing w:after="0" w:line="223" w:lineRule="auto"/>
            </w:pPr>
            <w:r>
              <w:rPr>
                <w:rFonts w:ascii="Times New Roman" w:hAnsi="Times New Roman"/>
                <w:sz w:val="13"/>
              </w:rPr>
              <w:t>Deut. 7:5</w:t>
            </w:r>
          </w:p>
        </w:tc>
        <w:tc>
          <w:tcPr>
            <w:tcW w:type="dxa" w:w="3561"/>
            <w:vAlign w:val="top"/>
          </w:tcPr>
          <w:p>
            <w:pPr>
              <w:spacing w:after="0" w:line="223" w:lineRule="auto"/>
            </w:pPr>
            <w:r>
              <w:rPr>
                <w:rFonts w:ascii="Times New Roman" w:hAnsi="Times New Roman"/>
                <w:sz w:val="13"/>
              </w:rPr>
              <w:t>asherim</w:t>
            </w:r>
          </w:p>
        </w:tc>
        <w:tc>
          <w:tcPr>
            <w:tcW w:type="dxa" w:w="3561"/>
            <w:vAlign w:val="top"/>
          </w:tcPr>
          <w:p>
            <w:pPr>
              <w:spacing w:after="0" w:line="223" w:lineRule="auto"/>
            </w:pPr>
            <w:r>
              <w:rPr>
                <w:rFonts w:ascii="Times New Roman" w:hAnsi="Times New Roman"/>
                <w:sz w:val="13"/>
              </w:rPr>
              <w:t>Asherah cult poles/objects; KJV “groves” misleading.</w:t>
            </w:r>
          </w:p>
        </w:tc>
      </w:tr>
      <w:tr>
        <w:tc>
          <w:tcPr>
            <w:tcW w:type="dxa" w:w="3561"/>
            <w:vAlign w:val="top"/>
          </w:tcPr>
          <w:p>
            <w:pPr>
              <w:spacing w:after="0" w:line="223" w:lineRule="auto"/>
            </w:pPr>
            <w:r>
              <w:rPr>
                <w:rFonts w:ascii="Times New Roman" w:hAnsi="Times New Roman"/>
                <w:sz w:val="13"/>
              </w:rPr>
              <w:t>Deut. 7:6</w:t>
            </w:r>
          </w:p>
        </w:tc>
        <w:tc>
          <w:tcPr>
            <w:tcW w:type="dxa" w:w="3561"/>
            <w:vAlign w:val="top"/>
          </w:tcPr>
          <w:p>
            <w:pPr>
              <w:spacing w:after="0" w:line="223" w:lineRule="auto"/>
            </w:pPr>
            <w:r>
              <w:rPr>
                <w:rFonts w:ascii="Times New Roman" w:hAnsi="Times New Roman"/>
                <w:sz w:val="13"/>
              </w:rPr>
              <w:t>segullah</w:t>
            </w:r>
          </w:p>
        </w:tc>
        <w:tc>
          <w:tcPr>
            <w:tcW w:type="dxa" w:w="3561"/>
            <w:vAlign w:val="top"/>
          </w:tcPr>
          <w:p>
            <w:pPr>
              <w:spacing w:after="0" w:line="223" w:lineRule="auto"/>
            </w:pPr>
            <w:r>
              <w:rPr>
                <w:rFonts w:ascii="Times New Roman" w:hAnsi="Times New Roman"/>
                <w:sz w:val="13"/>
              </w:rPr>
              <w:t>Treasured/special possession.</w:t>
            </w:r>
          </w:p>
        </w:tc>
      </w:tr>
      <w:tr>
        <w:tc>
          <w:tcPr>
            <w:tcW w:type="dxa" w:w="3561"/>
            <w:vAlign w:val="top"/>
          </w:tcPr>
          <w:p>
            <w:pPr>
              <w:spacing w:after="0" w:line="223" w:lineRule="auto"/>
            </w:pPr>
            <w:r>
              <w:rPr>
                <w:rFonts w:ascii="Times New Roman" w:hAnsi="Times New Roman"/>
                <w:sz w:val="13"/>
              </w:rPr>
              <w:t>Deut. 7:7</w:t>
            </w:r>
          </w:p>
        </w:tc>
        <w:tc>
          <w:tcPr>
            <w:tcW w:type="dxa" w:w="3561"/>
            <w:vAlign w:val="top"/>
          </w:tcPr>
          <w:p>
            <w:pPr>
              <w:spacing w:after="0" w:line="223" w:lineRule="auto"/>
            </w:pPr>
            <w:r>
              <w:rPr>
                <w:rFonts w:ascii="Times New Roman" w:hAnsi="Times New Roman"/>
                <w:sz w:val="13"/>
              </w:rPr>
              <w:t>fewest/smallest</w:t>
            </w:r>
          </w:p>
        </w:tc>
        <w:tc>
          <w:tcPr>
            <w:tcW w:type="dxa" w:w="3561"/>
            <w:vAlign w:val="top"/>
          </w:tcPr>
          <w:p>
            <w:pPr>
              <w:spacing w:after="0" w:line="223" w:lineRule="auto"/>
            </w:pPr>
            <w:r>
              <w:rPr>
                <w:rFonts w:ascii="Times New Roman" w:hAnsi="Times New Roman"/>
                <w:sz w:val="13"/>
              </w:rPr>
              <w:t>Election not numerical superiority.</w:t>
            </w:r>
          </w:p>
        </w:tc>
      </w:tr>
      <w:tr>
        <w:tc>
          <w:tcPr>
            <w:tcW w:type="dxa" w:w="3561"/>
            <w:vAlign w:val="top"/>
          </w:tcPr>
          <w:p>
            <w:pPr>
              <w:spacing w:after="0" w:line="223" w:lineRule="auto"/>
            </w:pPr>
            <w:r>
              <w:rPr>
                <w:rFonts w:ascii="Times New Roman" w:hAnsi="Times New Roman"/>
                <w:sz w:val="13"/>
              </w:rPr>
              <w:t>Deut. 7:8</w:t>
            </w:r>
          </w:p>
        </w:tc>
        <w:tc>
          <w:tcPr>
            <w:tcW w:type="dxa" w:w="3561"/>
            <w:vAlign w:val="top"/>
          </w:tcPr>
          <w:p>
            <w:pPr>
              <w:spacing w:after="0" w:line="223" w:lineRule="auto"/>
            </w:pPr>
            <w:r>
              <w:rPr>
                <w:rFonts w:ascii="Times New Roman" w:hAnsi="Times New Roman"/>
                <w:sz w:val="13"/>
              </w:rPr>
              <w:t>love + oath</w:t>
            </w:r>
          </w:p>
        </w:tc>
        <w:tc>
          <w:tcPr>
            <w:tcW w:type="dxa" w:w="3561"/>
            <w:vAlign w:val="top"/>
          </w:tcPr>
          <w:p>
            <w:pPr>
              <w:spacing w:after="0" w:line="223" w:lineRule="auto"/>
            </w:pPr>
            <w:r>
              <w:rPr>
                <w:rFonts w:ascii="Times New Roman" w:hAnsi="Times New Roman"/>
                <w:sz w:val="13"/>
              </w:rPr>
              <w:t>Ground of Divine choice.</w:t>
            </w:r>
          </w:p>
        </w:tc>
      </w:tr>
      <w:tr>
        <w:tc>
          <w:tcPr>
            <w:tcW w:type="dxa" w:w="3561"/>
            <w:vAlign w:val="top"/>
          </w:tcPr>
          <w:p>
            <w:pPr>
              <w:spacing w:after="0" w:line="223" w:lineRule="auto"/>
            </w:pPr>
            <w:r>
              <w:rPr>
                <w:rFonts w:ascii="Times New Roman" w:hAnsi="Times New Roman"/>
                <w:sz w:val="13"/>
              </w:rPr>
              <w:t>Deut. 7:9</w:t>
            </w:r>
          </w:p>
        </w:tc>
        <w:tc>
          <w:tcPr>
            <w:tcW w:type="dxa" w:w="3561"/>
            <w:vAlign w:val="top"/>
          </w:tcPr>
          <w:p>
            <w:pPr>
              <w:spacing w:after="0" w:line="223" w:lineRule="auto"/>
            </w:pPr>
            <w:r>
              <w:rPr>
                <w:rFonts w:ascii="Times New Roman" w:hAnsi="Times New Roman"/>
                <w:sz w:val="13"/>
              </w:rPr>
              <w:t>hesed</w:t>
            </w:r>
          </w:p>
        </w:tc>
        <w:tc>
          <w:tcPr>
            <w:tcW w:type="dxa" w:w="3561"/>
            <w:vAlign w:val="top"/>
          </w:tcPr>
          <w:p>
            <w:pPr>
              <w:spacing w:after="0" w:line="223" w:lineRule="auto"/>
            </w:pPr>
            <w:r>
              <w:rPr>
                <w:rFonts w:ascii="Times New Roman" w:hAnsi="Times New Roman"/>
                <w:sz w:val="13"/>
              </w:rPr>
              <w:t>Steadfast/covenant love.</w:t>
            </w:r>
          </w:p>
        </w:tc>
      </w:tr>
      <w:tr>
        <w:tc>
          <w:tcPr>
            <w:tcW w:type="dxa" w:w="3561"/>
            <w:vAlign w:val="top"/>
          </w:tcPr>
          <w:p>
            <w:pPr>
              <w:spacing w:after="0" w:line="223" w:lineRule="auto"/>
            </w:pPr>
            <w:r>
              <w:rPr>
                <w:rFonts w:ascii="Times New Roman" w:hAnsi="Times New Roman"/>
                <w:sz w:val="13"/>
              </w:rPr>
              <w:t>Deut. 7:12–15</w:t>
            </w:r>
          </w:p>
        </w:tc>
        <w:tc>
          <w:tcPr>
            <w:tcW w:type="dxa" w:w="3561"/>
            <w:vAlign w:val="top"/>
          </w:tcPr>
          <w:p>
            <w:pPr>
              <w:spacing w:after="0" w:line="223" w:lineRule="auto"/>
            </w:pPr>
            <w:r>
              <w:rPr>
                <w:rFonts w:ascii="Times New Roman" w:hAnsi="Times New Roman"/>
                <w:sz w:val="13"/>
              </w:rPr>
              <w:t>material covenant blessing</w:t>
            </w:r>
          </w:p>
        </w:tc>
        <w:tc>
          <w:tcPr>
            <w:tcW w:type="dxa" w:w="3561"/>
            <w:vAlign w:val="top"/>
          </w:tcPr>
          <w:p>
            <w:pPr>
              <w:spacing w:after="0" w:line="223" w:lineRule="auto"/>
            </w:pPr>
            <w:r>
              <w:rPr>
                <w:rFonts w:ascii="Times New Roman" w:hAnsi="Times New Roman"/>
                <w:sz w:val="13"/>
              </w:rPr>
              <w:t>National agricultural promise, not generic prosperity gospel.</w:t>
            </w:r>
          </w:p>
        </w:tc>
      </w:tr>
      <w:tr>
        <w:tc>
          <w:tcPr>
            <w:tcW w:type="dxa" w:w="3561"/>
            <w:vAlign w:val="top"/>
          </w:tcPr>
          <w:p>
            <w:pPr>
              <w:spacing w:after="0" w:line="223" w:lineRule="auto"/>
            </w:pPr>
            <w:r>
              <w:rPr>
                <w:rFonts w:ascii="Times New Roman" w:hAnsi="Times New Roman"/>
                <w:sz w:val="13"/>
              </w:rPr>
              <w:t>Deut. 7:20</w:t>
            </w:r>
          </w:p>
        </w:tc>
        <w:tc>
          <w:tcPr>
            <w:tcW w:type="dxa" w:w="3561"/>
            <w:vAlign w:val="top"/>
          </w:tcPr>
          <w:p>
            <w:pPr>
              <w:spacing w:after="0" w:line="223" w:lineRule="auto"/>
            </w:pPr>
            <w:r>
              <w:rPr>
                <w:rFonts w:ascii="Times New Roman" w:hAnsi="Times New Roman"/>
                <w:sz w:val="13"/>
              </w:rPr>
              <w:t>tsir‘ah</w:t>
            </w:r>
          </w:p>
        </w:tc>
        <w:tc>
          <w:tcPr>
            <w:tcW w:type="dxa" w:w="3561"/>
            <w:vAlign w:val="top"/>
          </w:tcPr>
          <w:p>
            <w:pPr>
              <w:spacing w:after="0" w:line="223" w:lineRule="auto"/>
            </w:pPr>
            <w:r>
              <w:rPr>
                <w:rFonts w:ascii="Times New Roman" w:hAnsi="Times New Roman"/>
                <w:sz w:val="13"/>
              </w:rPr>
              <w:t>Hornet; literal/figurative mechanism debated.</w:t>
            </w:r>
          </w:p>
        </w:tc>
      </w:tr>
      <w:tr>
        <w:tc>
          <w:tcPr>
            <w:tcW w:type="dxa" w:w="3561"/>
            <w:vAlign w:val="top"/>
          </w:tcPr>
          <w:p>
            <w:pPr>
              <w:spacing w:after="0" w:line="223" w:lineRule="auto"/>
            </w:pPr>
            <w:r>
              <w:rPr>
                <w:rFonts w:ascii="Times New Roman" w:hAnsi="Times New Roman"/>
                <w:sz w:val="13"/>
              </w:rPr>
              <w:t>Deut. 7:22</w:t>
            </w:r>
          </w:p>
        </w:tc>
        <w:tc>
          <w:tcPr>
            <w:tcW w:type="dxa" w:w="3561"/>
            <w:vAlign w:val="top"/>
          </w:tcPr>
          <w:p>
            <w:pPr>
              <w:spacing w:after="0" w:line="223" w:lineRule="auto"/>
            </w:pPr>
            <w:r>
              <w:rPr>
                <w:rFonts w:ascii="Times New Roman" w:hAnsi="Times New Roman"/>
                <w:sz w:val="13"/>
              </w:rPr>
              <w:t>little by little</w:t>
            </w:r>
          </w:p>
        </w:tc>
        <w:tc>
          <w:tcPr>
            <w:tcW w:type="dxa" w:w="3561"/>
            <w:vAlign w:val="top"/>
          </w:tcPr>
          <w:p>
            <w:pPr>
              <w:spacing w:after="0" w:line="223" w:lineRule="auto"/>
            </w:pPr>
            <w:r>
              <w:rPr>
                <w:rFonts w:ascii="Times New Roman" w:hAnsi="Times New Roman"/>
                <w:sz w:val="13"/>
              </w:rPr>
              <w:t>Prevents sudden depopulation/wildlife increase.</w:t>
            </w:r>
          </w:p>
        </w:tc>
      </w:tr>
      <w:tr>
        <w:tc>
          <w:tcPr>
            <w:tcW w:type="dxa" w:w="3561"/>
            <w:vAlign w:val="top"/>
          </w:tcPr>
          <w:p>
            <w:pPr>
              <w:spacing w:after="0" w:line="223" w:lineRule="auto"/>
            </w:pPr>
            <w:r>
              <w:rPr>
                <w:rFonts w:ascii="Times New Roman" w:hAnsi="Times New Roman"/>
                <w:sz w:val="13"/>
              </w:rPr>
              <w:t>Deut. 7:25</w:t>
            </w:r>
          </w:p>
        </w:tc>
        <w:tc>
          <w:tcPr>
            <w:tcW w:type="dxa" w:w="3561"/>
            <w:vAlign w:val="top"/>
          </w:tcPr>
          <w:p>
            <w:pPr>
              <w:spacing w:after="0" w:line="223" w:lineRule="auto"/>
            </w:pPr>
            <w:r>
              <w:rPr>
                <w:rFonts w:ascii="Times New Roman" w:hAnsi="Times New Roman"/>
                <w:sz w:val="13"/>
              </w:rPr>
              <w:t>idol silver/gold</w:t>
            </w:r>
          </w:p>
        </w:tc>
        <w:tc>
          <w:tcPr>
            <w:tcW w:type="dxa" w:w="3561"/>
            <w:vAlign w:val="top"/>
          </w:tcPr>
          <w:p>
            <w:pPr>
              <w:spacing w:after="0" w:line="223" w:lineRule="auto"/>
            </w:pPr>
            <w:r>
              <w:rPr>
                <w:rFonts w:ascii="Times New Roman" w:hAnsi="Times New Roman"/>
                <w:sz w:val="13"/>
              </w:rPr>
              <w:t>Do not covet valuable material.</w:t>
            </w:r>
          </w:p>
        </w:tc>
      </w:tr>
      <w:tr>
        <w:tc>
          <w:tcPr>
            <w:tcW w:type="dxa" w:w="3561"/>
            <w:vAlign w:val="top"/>
          </w:tcPr>
          <w:p>
            <w:pPr>
              <w:spacing w:after="0" w:line="223" w:lineRule="auto"/>
            </w:pPr>
            <w:r>
              <w:rPr>
                <w:rFonts w:ascii="Times New Roman" w:hAnsi="Times New Roman"/>
                <w:sz w:val="13"/>
              </w:rPr>
              <w:t>Deut. 7:26</w:t>
            </w:r>
          </w:p>
        </w:tc>
        <w:tc>
          <w:tcPr>
            <w:tcW w:type="dxa" w:w="3561"/>
            <w:vAlign w:val="top"/>
          </w:tcPr>
          <w:p>
            <w:pPr>
              <w:spacing w:after="0" w:line="223" w:lineRule="auto"/>
            </w:pPr>
            <w:r>
              <w:rPr>
                <w:rFonts w:ascii="Times New Roman" w:hAnsi="Times New Roman"/>
                <w:sz w:val="13"/>
              </w:rPr>
              <w:t>abomination in house</w:t>
            </w:r>
          </w:p>
        </w:tc>
        <w:tc>
          <w:tcPr>
            <w:tcW w:type="dxa" w:w="3561"/>
            <w:vAlign w:val="top"/>
          </w:tcPr>
          <w:p>
            <w:pPr>
              <w:spacing w:after="0" w:line="223" w:lineRule="auto"/>
            </w:pPr>
            <w:r>
              <w:rPr>
                <w:rFonts w:ascii="Times New Roman" w:hAnsi="Times New Roman"/>
                <w:sz w:val="13"/>
              </w:rPr>
              <w:t>Do not domesticate item under ban.</w:t>
            </w:r>
          </w:p>
        </w:tc>
      </w:tr>
    </w:tbl>
    <w:p>
      <w:pPr>
        <w:pStyle w:val="Heading1"/>
      </w:pPr>
      <w:r>
        <w:t>RESIDUAL UNCERTAINTIES</w:t>
      </w:r>
    </w:p>
    <w:p>
      <w:pPr/>
      <w:r>
        <w:rPr>
          <w:i w:val="0"/>
        </w:rPr>
        <w:t>The archaeological identities and histories of several Canaanite groups, and the precise operation of the “hornet,” are not fully recoverable from the text. Mansfield’s lengthy ethnic etymologies and some archaeological generalisations are separated from the secure chapter exposition.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