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9</w:t>
      </w:r>
    </w:p>
    <w:p>
      <w:pPr>
        <w:pStyle w:val="Subtitle"/>
      </w:pPr>
      <w:r>
        <w:t>NOT FOR THY RIGHTEOUSNESS • ANAKIM AND FORTIFIED CITIES • THE GOLDEN CALF • BROKEN TABLES • REPEATED REBELLION • MOSES’ INTERCESSION • PROMISE AND MERCY EXCLUDE BOASTING</w:t>
      </w:r>
    </w:p>
    <w:p>
      <w:pPr/>
      <w:r>
        <w:rPr>
          <w:i/>
        </w:rPr>
        <w:t>H. P. Mansfield Bible notes — checked and arranged in verse-by-verse Expositor style</w:t>
      </w:r>
    </w:p>
    <w:p>
      <w:pPr/>
      <w:r>
        <w:rPr>
          <w:i w:val="0"/>
        </w:rPr>
        <w:t>Source: HPB 04-Deu01-Jud04.PDF pp. 17–18; cross-checked with Mansfield’s Deuteronomy Expositor Chapter 9 and Exodus 24; 32–34.</w:t>
      </w:r>
    </w:p>
    <w:p>
      <w:pPr>
        <w:pStyle w:val="Heading1"/>
      </w:pPr>
      <w:r>
        <w:t>CHAPTER OVERVIEW</w:t>
      </w:r>
    </w:p>
    <w:p>
      <w:pPr/>
      <w:r>
        <w:rPr>
          <w:i w:val="0"/>
        </w:rPr>
        <w:t>Israel is about to receive what it could never honestly attribute to its own moral record. Canaanite wickedness is judged, Yahweh’s oath to the patriarchs is fulfilled, and Israel itself is repeatedly described as stiffnecked.</w:t>
      </w:r>
    </w:p>
    <w:p>
      <w:pPr/>
      <w:r>
        <w:rPr>
          <w:i w:val="0"/>
        </w:rPr>
        <w:t>Moses proves the point by recalling Horeb, the golden calf, Taberah, Massah, Kibroth-hattaavah and Kadesh-barnea. Israel survives not because rebellion was trivial but because Yahweh is faithful and Moses intercedes on the basis of redemption, promise and the Divine Name.</w:t>
      </w:r>
    </w:p>
    <w:p>
      <w:pPr>
        <w:pStyle w:val="Heading1"/>
      </w:pPr>
      <w:r>
        <w:t>ENTRANCE BY PROMISE, NOT SELF-RIGHTEOUSNESS — DEUTERONOMY 9:1–6</w:t>
      </w:r>
    </w:p>
    <w:p>
      <w:pPr>
        <w:pStyle w:val="Heading2"/>
      </w:pPr>
      <w:r>
        <w:t>Deuteronomy 9:1–2 — formidable opposition</w:t>
      </w:r>
    </w:p>
    <w:p>
      <w:pPr/>
      <w:r>
        <w:rPr>
          <w:i w:val="0"/>
        </w:rPr>
        <w:t>Israel is to cross Jordan and dispossess nations greater and mightier, with cities described hyperbolically as fortified “up to heaven,” including the tall Anakim.</w:t>
      </w:r>
    </w:p>
    <w:p>
      <w:pPr/>
      <w:r>
        <w:rPr>
          <w:i w:val="0"/>
        </w:rPr>
        <w:t>The phrase does not mean literal heaven-height; it is conventional language for overwhelming fortification.</w:t>
      </w:r>
    </w:p>
    <w:p>
      <w:pPr>
        <w:pStyle w:val="Heading2"/>
      </w:pPr>
      <w:r>
        <w:t>Deuteronomy 9:3 — Yahweh as consuming fire</w:t>
      </w:r>
    </w:p>
    <w:p>
      <w:pPr/>
      <w:r>
        <w:rPr>
          <w:i w:val="0"/>
        </w:rPr>
        <w:t>Yahweh goes before Israel as a consuming fire and will subdue the opposition.</w:t>
      </w:r>
    </w:p>
    <w:p>
      <w:pPr/>
      <w:r>
        <w:rPr>
          <w:i w:val="0"/>
        </w:rPr>
        <w:t>Mansfield explains this entirely through an angelic representative. Angelic mediation is certainly part of the Exodus tradition, but the verse itself says Yahweh; the exposition should not replace the Divine subject with “the Angel” as though the text meant something else.</w:t>
      </w:r>
    </w:p>
    <w:p>
      <w:pPr>
        <w:pStyle w:val="Heading2"/>
      </w:pPr>
      <w:r>
        <w:t>Deuteronomy 9:4–5 — two reasons explicitly stated</w:t>
      </w:r>
    </w:p>
    <w:p>
      <w:pPr/>
      <w:r>
        <w:rPr>
          <w:i w:val="0"/>
        </w:rPr>
        <w:t>Israel must never say, “For my righteousness Yahweh hath brought me in.” The nations are dispossessed because of their wickedness and so Yahweh may establish the word sworn to Abraham, Isaac and Jacob.</w:t>
      </w:r>
    </w:p>
    <w:p>
      <w:pPr/>
      <w:r>
        <w:rPr>
          <w:i w:val="0"/>
        </w:rPr>
        <w:t>Grace does not make Canaanite wickedness irrelevant, and Canaanite wickedness does not make Israel meritorious.</w:t>
      </w:r>
    </w:p>
    <w:p>
      <w:pPr>
        <w:pStyle w:val="Heading2"/>
      </w:pPr>
      <w:r>
        <w:t>Deuteronomy 9:6 — stiffnecked</w:t>
      </w:r>
    </w:p>
    <w:p>
      <w:pPr/>
      <w:r>
        <w:rPr>
          <w:i w:val="0"/>
        </w:rPr>
        <w:t>Israel receives the good land despite being described as `qesheh-‘oreph`, stiff/hard-necked.</w:t>
      </w:r>
    </w:p>
    <w:p>
      <w:pPr/>
      <w:r>
        <w:rPr>
          <w:i w:val="0"/>
        </w:rPr>
        <w:t>The image is of an animal resisting the yoke or direction—an apt picture of persistent covenant resistance.</w:t>
      </w:r>
    </w:p>
    <w:p>
      <w:pPr>
        <w:pStyle w:val="Heading1"/>
      </w:pPr>
      <w:r>
        <w:t>REMEMBER THE REBELLION AT HOREB — DEUTERONOMY 9:7–17</w:t>
      </w:r>
    </w:p>
    <w:p>
      <w:pPr>
        <w:pStyle w:val="Heading2"/>
      </w:pPr>
      <w:r>
        <w:t>Deuteronomy 9:7–8 — remember and do not forget</w:t>
      </w:r>
    </w:p>
    <w:p>
      <w:pPr/>
      <w:r>
        <w:rPr>
          <w:i w:val="0"/>
        </w:rPr>
        <w:t>Moses deliberately keeps Israel’s failures in memory so that inheritance cannot become a basis for boasting.</w:t>
      </w:r>
    </w:p>
    <w:p>
      <w:pPr>
        <w:pStyle w:val="Heading2"/>
      </w:pPr>
      <w:r>
        <w:t>Deuteronomy 9:9 — the first forty days</w:t>
      </w:r>
    </w:p>
    <w:p>
      <w:pPr/>
      <w:r>
        <w:rPr>
          <w:i w:val="0"/>
        </w:rPr>
        <w:t>Moses remained on the mountain forty days and nights without bread or water while receiving the covenant tablets.</w:t>
      </w:r>
    </w:p>
    <w:p>
      <w:pPr/>
      <w:r>
        <w:rPr>
          <w:i w:val="0"/>
        </w:rPr>
        <w:t>This first forty-day period occurred before Moses descended and saw the calf. Mansfield’s statement that Moses fasted because he was already ashamed of Israel and was preparing to intercede is chronologically incorrect.</w:t>
      </w:r>
    </w:p>
    <w:p>
      <w:pPr>
        <w:pStyle w:val="Heading2"/>
      </w:pPr>
      <w:r>
        <w:t>Deuteronomy 9:10–11 — written by the finger of God</w:t>
      </w:r>
    </w:p>
    <w:p>
      <w:pPr/>
      <w:r>
        <w:rPr>
          <w:i w:val="0"/>
        </w:rPr>
        <w:t>The two stone tablets bear the words Yahweh had spoken to the assembly. “Finger of God” is biblical language for direct Divine agency/power; comparison with Luke 11:20 and Matthew 12:28 may illuminate the idiom without requiring a literal physical finger.</w:t>
      </w:r>
    </w:p>
    <w:p>
      <w:pPr>
        <w:pStyle w:val="Heading2"/>
      </w:pPr>
      <w:r>
        <w:t>Deuteronomy 9:12–14 — “quickly turned aside”</w:t>
      </w:r>
    </w:p>
    <w:p>
      <w:pPr/>
      <w:r>
        <w:rPr>
          <w:i w:val="0"/>
        </w:rPr>
        <w:t>Yahweh tells Moses that Israel has corrupted itself and made a molten image. He proposes judgment upon the stiffnecked nation.</w:t>
      </w:r>
    </w:p>
    <w:p>
      <w:pPr>
        <w:pStyle w:val="Heading2"/>
      </w:pPr>
      <w:r>
        <w:t>Deuteronomy 9:15–17 — the tablets broken</w:t>
      </w:r>
    </w:p>
    <w:p>
      <w:pPr/>
      <w:r>
        <w:rPr>
          <w:i w:val="0"/>
        </w:rPr>
        <w:t>Moses descends, sees the calf and throws down the two tablets, breaking them before Israel.</w:t>
      </w:r>
    </w:p>
    <w:p>
      <w:pPr/>
      <w:r>
        <w:rPr>
          <w:i w:val="0"/>
        </w:rPr>
        <w:t>The action vividly corresponds with Israel’s breach of the covenant represented by the tablets. The text does not explicitly call the breaking a commanded symbolic sign, so that aspect is best expressed as apt enacted symbolism rather than a stated Divine instruction.</w:t>
      </w:r>
    </w:p>
    <w:p>
      <w:pPr>
        <w:pStyle w:val="Heading1"/>
      </w:pPr>
      <w:r>
        <w:t>INTERCESSION AND DESTRUCTION OF THE CALF — DEUTERONOMY 9:18–21</w:t>
      </w:r>
    </w:p>
    <w:p>
      <w:pPr>
        <w:pStyle w:val="Heading2"/>
      </w:pPr>
      <w:r>
        <w:t>Deuteronomy 9:18–19 — another forty days and nights</w:t>
      </w:r>
    </w:p>
    <w:p>
      <w:pPr/>
      <w:r>
        <w:rPr>
          <w:i w:val="0"/>
        </w:rPr>
        <w:t>Moses then falls before Yahweh forty days and nights because of Israel’s sin and Yahweh’s wrath.</w:t>
      </w:r>
    </w:p>
    <w:p>
      <w:pPr/>
      <w:r>
        <w:rPr>
          <w:i w:val="0"/>
        </w:rPr>
        <w:t>This is the intercessory fast associated with the calf crisis. It must be distinguished from the first forty-day period of verse 9.</w:t>
      </w:r>
    </w:p>
    <w:p>
      <w:pPr>
        <w:pStyle w:val="Heading2"/>
      </w:pPr>
      <w:r>
        <w:t>Deuteronomy 9:20 — Aaron also endangered</w:t>
      </w:r>
    </w:p>
    <w:p>
      <w:pPr/>
      <w:r>
        <w:rPr>
          <w:i w:val="0"/>
        </w:rPr>
        <w:t>Yahweh was very angry with Aaron to destroy him; Moses also interceded for Aaron.</w:t>
      </w:r>
    </w:p>
    <w:p>
      <w:pPr/>
      <w:r>
        <w:rPr>
          <w:i w:val="0"/>
        </w:rPr>
        <w:t>Exodus 32 records Aaron’s culpable participation even though later priestly service continues by mercy.</w:t>
      </w:r>
    </w:p>
    <w:p>
      <w:pPr>
        <w:pStyle w:val="Heading2"/>
      </w:pPr>
      <w:r>
        <w:t>Deuteronomy 9:21 — the calf reduced to dust</w:t>
      </w:r>
    </w:p>
    <w:p>
      <w:pPr/>
      <w:r>
        <w:rPr>
          <w:i w:val="0"/>
        </w:rPr>
        <w:t>Moses takes the calf, burns it, crushes/grinds it thoroughly and casts its dust into the brook descending from the mountain.</w:t>
      </w:r>
    </w:p>
    <w:p>
      <w:pPr/>
      <w:r>
        <w:rPr>
          <w:i w:val="0"/>
        </w:rPr>
        <w:t>Exodus 32:20 additionally says the powder was scattered on water and Israel was made to drink it. Deuteronomy selects the destruction detail for its exhortational purpose.</w:t>
      </w:r>
    </w:p>
    <w:p>
      <w:pPr>
        <w:pStyle w:val="Heading1"/>
      </w:pPr>
      <w:r>
        <w:t>REBELLION WAS A PATTERN — DEUTERONOMY 9:22–24</w:t>
      </w:r>
    </w:p>
    <w:p>
      <w:pPr>
        <w:pStyle w:val="Heading2"/>
      </w:pPr>
      <w:r>
        <w:t>Deuteronomy 9:22 — Taberah, Massah and Kibroth-hattaavah</w:t>
      </w:r>
    </w:p>
    <w:p>
      <w:pPr/>
      <w:r>
        <w:rPr>
          <w:i w:val="0"/>
        </w:rPr>
        <w:t>Three further provocations are named, showing the calf was not an isolated lapse.</w:t>
      </w:r>
    </w:p>
    <w:p>
      <w:pPr>
        <w:pStyle w:val="Heading2"/>
      </w:pPr>
      <w:r>
        <w:t>Deuteronomy 9:23 — Kadesh-barnea</w:t>
      </w:r>
    </w:p>
    <w:p>
      <w:pPr/>
      <w:r>
        <w:rPr>
          <w:i w:val="0"/>
        </w:rPr>
        <w:t>At Kadesh Israel disobeyed the command to go up because it did not believe or hearken to Yahweh.</w:t>
      </w:r>
    </w:p>
    <w:p>
      <w:pPr>
        <w:pStyle w:val="Heading2"/>
      </w:pPr>
      <w:r>
        <w:t>Deuteronomy 9:24 — from the day Moses knew them</w:t>
      </w:r>
    </w:p>
    <w:p>
      <w:pPr/>
      <w:r>
        <w:rPr>
          <w:i w:val="0"/>
        </w:rPr>
        <w:t>Moses concludes: “Ye have been rebellious against Yahweh from the day that I knew you.”</w:t>
      </w:r>
    </w:p>
    <w:p>
      <w:pPr/>
      <w:r>
        <w:rPr>
          <w:i w:val="0"/>
        </w:rPr>
        <w:t>The rhetoric removes every foundation for national self-congratulation.</w:t>
      </w:r>
    </w:p>
    <w:p>
      <w:pPr>
        <w:pStyle w:val="Heading1"/>
      </w:pPr>
      <w:r>
        <w:t>MOSES’ INTERCESSORY APPEAL — DEUTERONOMY 9:25–29</w:t>
      </w:r>
    </w:p>
    <w:p>
      <w:pPr>
        <w:pStyle w:val="Heading2"/>
      </w:pPr>
      <w:r>
        <w:t>Deuteronomy 9:25–26 — Thy people and inheritance</w:t>
      </w:r>
    </w:p>
    <w:p>
      <w:pPr/>
      <w:r>
        <w:rPr>
          <w:i w:val="0"/>
        </w:rPr>
        <w:t>Moses pleads that Yahweh not destroy the people whom He redeemed by greatness and mighty hand.</w:t>
      </w:r>
    </w:p>
    <w:p>
      <w:pPr>
        <w:pStyle w:val="Heading2"/>
      </w:pPr>
      <w:r>
        <w:t>Deuteronomy 9:27 — remember Abraham, Isaac and Jacob</w:t>
      </w:r>
    </w:p>
    <w:p>
      <w:pPr/>
      <w:r>
        <w:rPr>
          <w:i w:val="0"/>
        </w:rPr>
        <w:t>The patriarchal covenant becomes a central ground of intercession. Moses asks Yahweh not to look at Israel’s stubbornness, wickedness and sin.</w:t>
      </w:r>
    </w:p>
    <w:p>
      <w:pPr>
        <w:pStyle w:val="Heading2"/>
      </w:pPr>
      <w:r>
        <w:t>Deuteronomy 9:28 — the nations and Yahweh’s reputation</w:t>
      </w:r>
    </w:p>
    <w:p>
      <w:pPr/>
      <w:r>
        <w:rPr>
          <w:i w:val="0"/>
        </w:rPr>
        <w:t>Moses argues that Egypt/the former land must not misread Israel’s destruction as evidence that Yahweh was unable to fulfil His promise or maliciously brought Israel out to kill them.</w:t>
      </w:r>
    </w:p>
    <w:p>
      <w:pPr>
        <w:pStyle w:val="Heading2"/>
      </w:pPr>
      <w:r>
        <w:t>Deuteronomy 9:29 — “thy people and thine inheritance”</w:t>
      </w:r>
    </w:p>
    <w:p>
      <w:pPr/>
      <w:r>
        <w:rPr>
          <w:i w:val="0"/>
        </w:rPr>
        <w:t>The chapter closes where the plea began: Israel belongs to Yahweh by redemption, not because its own righteousness forced His hand.</w:t>
      </w:r>
    </w:p>
    <w:p>
      <w:pPr>
        <w:pStyle w:val="Heading1"/>
      </w:pPr>
      <w:r>
        <w:t>PRINCIPAL THEMES</w:t>
      </w:r>
    </w:p>
    <w:p>
      <w:pPr>
        <w:ind w:left="259" w:hanging="202"/>
      </w:pPr>
      <w:r>
        <w:rPr>
          <w:b/>
        </w:rPr>
        <w:t xml:space="preserve">• </w:t>
      </w:r>
      <w:r>
        <w:t>Israel’s inheritance excludes boasting in personal or national righteousness.</w:t>
      </w:r>
    </w:p>
    <w:p>
      <w:pPr>
        <w:ind w:left="259" w:hanging="202"/>
      </w:pPr>
      <w:r>
        <w:rPr>
          <w:b/>
        </w:rPr>
        <w:t xml:space="preserve">• </w:t>
      </w:r>
      <w:r>
        <w:t>Yahweh’s promise to the patriarchs and judgment of Canaanite wickedness operate together.</w:t>
      </w:r>
    </w:p>
    <w:p>
      <w:pPr>
        <w:ind w:left="259" w:hanging="202"/>
      </w:pPr>
      <w:r>
        <w:rPr>
          <w:b/>
        </w:rPr>
        <w:t xml:space="preserve">• </w:t>
      </w:r>
      <w:r>
        <w:t>The first forty-day fast preceded the discovery of the golden calf.</w:t>
      </w:r>
    </w:p>
    <w:p>
      <w:pPr>
        <w:ind w:left="259" w:hanging="202"/>
      </w:pPr>
      <w:r>
        <w:rPr>
          <w:b/>
        </w:rPr>
        <w:t xml:space="preserve">• </w:t>
      </w:r>
      <w:r>
        <w:t>The later forty-day prostration is the intercessory fast associated with the calf.</w:t>
      </w:r>
    </w:p>
    <w:p>
      <w:pPr>
        <w:ind w:left="259" w:hanging="202"/>
      </w:pPr>
      <w:r>
        <w:rPr>
          <w:b/>
        </w:rPr>
        <w:t xml:space="preserve">• </w:t>
      </w:r>
      <w:r>
        <w:t>The broken tablets aptly enact covenant breach, but Scripture does not state that Yahweh commanded Moses to break them as a sign.</w:t>
      </w:r>
    </w:p>
    <w:p>
      <w:pPr>
        <w:ind w:left="259" w:hanging="202"/>
      </w:pPr>
      <w:r>
        <w:rPr>
          <w:b/>
        </w:rPr>
        <w:t xml:space="preserve">• </w:t>
      </w:r>
      <w:r>
        <w:t>Angelic mediation should not replace Yahweh as the grammatical subject of verse 3.</w:t>
      </w:r>
    </w:p>
    <w:p>
      <w:pPr>
        <w:ind w:left="259" w:hanging="202"/>
      </w:pPr>
      <w:r>
        <w:rPr>
          <w:b/>
        </w:rPr>
        <w:t xml:space="preserve">• </w:t>
      </w:r>
      <w:r>
        <w:t>Aaron is explicitly included in the danger of judgment and in Moses’ intercession.</w:t>
      </w:r>
    </w:p>
    <w:p>
      <w:pPr>
        <w:ind w:left="259" w:hanging="202"/>
      </w:pPr>
      <w:r>
        <w:rPr>
          <w:b/>
        </w:rPr>
        <w:t xml:space="preserve">• </w:t>
      </w:r>
      <w:r>
        <w:t>Taberah, Massah, Kibroth-hattaavah and Kadesh show a continuing pattern of rebellion.</w:t>
      </w:r>
    </w:p>
    <w:p>
      <w:pPr>
        <w:ind w:left="259" w:hanging="202"/>
      </w:pPr>
      <w:r>
        <w:rPr>
          <w:b/>
        </w:rPr>
        <w:t xml:space="preserve">• </w:t>
      </w:r>
      <w:r>
        <w:t>Moses’ plea rests on redemption, patriarchal promise and Yahweh’s Name before the nations.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9:1</w:t>
            </w:r>
          </w:p>
        </w:tc>
        <w:tc>
          <w:tcPr>
            <w:tcW w:type="dxa" w:w="3561"/>
            <w:vAlign w:val="top"/>
          </w:tcPr>
          <w:p>
            <w:pPr>
              <w:spacing w:after="0" w:line="223" w:lineRule="auto"/>
            </w:pPr>
            <w:r>
              <w:rPr>
                <w:rFonts w:ascii="Times New Roman" w:hAnsi="Times New Roman"/>
                <w:sz w:val="13"/>
              </w:rPr>
              <w:t>cities ‘fortified to heaven’</w:t>
            </w:r>
          </w:p>
        </w:tc>
        <w:tc>
          <w:tcPr>
            <w:tcW w:type="dxa" w:w="3561"/>
            <w:vAlign w:val="top"/>
          </w:tcPr>
          <w:p>
            <w:pPr>
              <w:spacing w:after="0" w:line="223" w:lineRule="auto"/>
            </w:pPr>
            <w:r>
              <w:rPr>
                <w:rFonts w:ascii="Times New Roman" w:hAnsi="Times New Roman"/>
                <w:sz w:val="13"/>
              </w:rPr>
              <w:t>Hyperbolic description of formidable defences.</w:t>
            </w:r>
          </w:p>
        </w:tc>
      </w:tr>
      <w:tr>
        <w:tc>
          <w:tcPr>
            <w:tcW w:type="dxa" w:w="3561"/>
            <w:vAlign w:val="top"/>
          </w:tcPr>
          <w:p>
            <w:pPr>
              <w:spacing w:after="0" w:line="223" w:lineRule="auto"/>
            </w:pPr>
            <w:r>
              <w:rPr>
                <w:rFonts w:ascii="Times New Roman" w:hAnsi="Times New Roman"/>
                <w:sz w:val="13"/>
              </w:rPr>
              <w:t>Deut. 9:3</w:t>
            </w:r>
          </w:p>
        </w:tc>
        <w:tc>
          <w:tcPr>
            <w:tcW w:type="dxa" w:w="3561"/>
            <w:vAlign w:val="top"/>
          </w:tcPr>
          <w:p>
            <w:pPr>
              <w:spacing w:after="0" w:line="223" w:lineRule="auto"/>
            </w:pPr>
            <w:r>
              <w:rPr>
                <w:rFonts w:ascii="Times New Roman" w:hAnsi="Times New Roman"/>
                <w:sz w:val="13"/>
              </w:rPr>
              <w:t>Yahweh goes before Israel</w:t>
            </w:r>
          </w:p>
        </w:tc>
        <w:tc>
          <w:tcPr>
            <w:tcW w:type="dxa" w:w="3561"/>
            <w:vAlign w:val="top"/>
          </w:tcPr>
          <w:p>
            <w:pPr>
              <w:spacing w:after="0" w:line="223" w:lineRule="auto"/>
            </w:pPr>
            <w:r>
              <w:rPr>
                <w:rFonts w:ascii="Times New Roman" w:hAnsi="Times New Roman"/>
                <w:sz w:val="13"/>
              </w:rPr>
              <w:t>Do not silently substitute “the Angel” for the stated subject.</w:t>
            </w:r>
          </w:p>
        </w:tc>
      </w:tr>
      <w:tr>
        <w:tc>
          <w:tcPr>
            <w:tcW w:type="dxa" w:w="3561"/>
            <w:vAlign w:val="top"/>
          </w:tcPr>
          <w:p>
            <w:pPr>
              <w:spacing w:after="0" w:line="223" w:lineRule="auto"/>
            </w:pPr>
            <w:r>
              <w:rPr>
                <w:rFonts w:ascii="Times New Roman" w:hAnsi="Times New Roman"/>
                <w:sz w:val="13"/>
              </w:rPr>
              <w:t>Deut. 9:4–5</w:t>
            </w:r>
          </w:p>
        </w:tc>
        <w:tc>
          <w:tcPr>
            <w:tcW w:type="dxa" w:w="3561"/>
            <w:vAlign w:val="top"/>
          </w:tcPr>
          <w:p>
            <w:pPr>
              <w:spacing w:after="0" w:line="223" w:lineRule="auto"/>
            </w:pPr>
            <w:r>
              <w:rPr>
                <w:rFonts w:ascii="Times New Roman" w:hAnsi="Times New Roman"/>
                <w:sz w:val="13"/>
              </w:rPr>
              <w:t>not thy righteousness</w:t>
            </w:r>
          </w:p>
        </w:tc>
        <w:tc>
          <w:tcPr>
            <w:tcW w:type="dxa" w:w="3561"/>
            <w:vAlign w:val="top"/>
          </w:tcPr>
          <w:p>
            <w:pPr>
              <w:spacing w:after="0" w:line="223" w:lineRule="auto"/>
            </w:pPr>
            <w:r>
              <w:rPr>
                <w:rFonts w:ascii="Times New Roman" w:hAnsi="Times New Roman"/>
                <w:sz w:val="13"/>
              </w:rPr>
              <w:t>Canaanite wickedness + patriarchal oath.</w:t>
            </w:r>
          </w:p>
        </w:tc>
      </w:tr>
      <w:tr>
        <w:tc>
          <w:tcPr>
            <w:tcW w:type="dxa" w:w="3561"/>
            <w:vAlign w:val="top"/>
          </w:tcPr>
          <w:p>
            <w:pPr>
              <w:spacing w:after="0" w:line="223" w:lineRule="auto"/>
            </w:pPr>
            <w:r>
              <w:rPr>
                <w:rFonts w:ascii="Times New Roman" w:hAnsi="Times New Roman"/>
                <w:sz w:val="13"/>
              </w:rPr>
              <w:t>Deut. 9:6</w:t>
            </w:r>
          </w:p>
        </w:tc>
        <w:tc>
          <w:tcPr>
            <w:tcW w:type="dxa" w:w="3561"/>
            <w:vAlign w:val="top"/>
          </w:tcPr>
          <w:p>
            <w:pPr>
              <w:spacing w:after="0" w:line="223" w:lineRule="auto"/>
            </w:pPr>
            <w:r>
              <w:rPr>
                <w:rFonts w:ascii="Times New Roman" w:hAnsi="Times New Roman"/>
                <w:sz w:val="13"/>
              </w:rPr>
              <w:t>qesheh-‘oreph</w:t>
            </w:r>
          </w:p>
        </w:tc>
        <w:tc>
          <w:tcPr>
            <w:tcW w:type="dxa" w:w="3561"/>
            <w:vAlign w:val="top"/>
          </w:tcPr>
          <w:p>
            <w:pPr>
              <w:spacing w:after="0" w:line="223" w:lineRule="auto"/>
            </w:pPr>
            <w:r>
              <w:rPr>
                <w:rFonts w:ascii="Times New Roman" w:hAnsi="Times New Roman"/>
                <w:sz w:val="13"/>
              </w:rPr>
              <w:t>Stiff/hard-necked.</w:t>
            </w:r>
          </w:p>
        </w:tc>
      </w:tr>
      <w:tr>
        <w:tc>
          <w:tcPr>
            <w:tcW w:type="dxa" w:w="3561"/>
            <w:vAlign w:val="top"/>
          </w:tcPr>
          <w:p>
            <w:pPr>
              <w:spacing w:after="0" w:line="223" w:lineRule="auto"/>
            </w:pPr>
            <w:r>
              <w:rPr>
                <w:rFonts w:ascii="Times New Roman" w:hAnsi="Times New Roman"/>
                <w:sz w:val="13"/>
              </w:rPr>
              <w:t>Deut. 9:9</w:t>
            </w:r>
          </w:p>
        </w:tc>
        <w:tc>
          <w:tcPr>
            <w:tcW w:type="dxa" w:w="3561"/>
            <w:vAlign w:val="top"/>
          </w:tcPr>
          <w:p>
            <w:pPr>
              <w:spacing w:after="0" w:line="223" w:lineRule="auto"/>
            </w:pPr>
            <w:r>
              <w:rPr>
                <w:rFonts w:ascii="Times New Roman" w:hAnsi="Times New Roman"/>
                <w:sz w:val="13"/>
              </w:rPr>
              <w:t>first 40 days</w:t>
            </w:r>
          </w:p>
        </w:tc>
        <w:tc>
          <w:tcPr>
            <w:tcW w:type="dxa" w:w="3561"/>
            <w:vAlign w:val="top"/>
          </w:tcPr>
          <w:p>
            <w:pPr>
              <w:spacing w:after="0" w:line="223" w:lineRule="auto"/>
            </w:pPr>
            <w:r>
              <w:rPr>
                <w:rFonts w:ascii="Times New Roman" w:hAnsi="Times New Roman"/>
                <w:sz w:val="13"/>
              </w:rPr>
              <w:t>Before Moses learns of calf; not an intercessory fast prompted by shame.</w:t>
            </w:r>
          </w:p>
        </w:tc>
      </w:tr>
      <w:tr>
        <w:tc>
          <w:tcPr>
            <w:tcW w:type="dxa" w:w="3561"/>
            <w:vAlign w:val="top"/>
          </w:tcPr>
          <w:p>
            <w:pPr>
              <w:spacing w:after="0" w:line="223" w:lineRule="auto"/>
            </w:pPr>
            <w:r>
              <w:rPr>
                <w:rFonts w:ascii="Times New Roman" w:hAnsi="Times New Roman"/>
                <w:sz w:val="13"/>
              </w:rPr>
              <w:t>Deut. 9:10</w:t>
            </w:r>
          </w:p>
        </w:tc>
        <w:tc>
          <w:tcPr>
            <w:tcW w:type="dxa" w:w="3561"/>
            <w:vAlign w:val="top"/>
          </w:tcPr>
          <w:p>
            <w:pPr>
              <w:spacing w:after="0" w:line="223" w:lineRule="auto"/>
            </w:pPr>
            <w:r>
              <w:rPr>
                <w:rFonts w:ascii="Times New Roman" w:hAnsi="Times New Roman"/>
                <w:sz w:val="13"/>
              </w:rPr>
              <w:t>finger of God</w:t>
            </w:r>
          </w:p>
        </w:tc>
        <w:tc>
          <w:tcPr>
            <w:tcW w:type="dxa" w:w="3561"/>
            <w:vAlign w:val="top"/>
          </w:tcPr>
          <w:p>
            <w:pPr>
              <w:spacing w:after="0" w:line="223" w:lineRule="auto"/>
            </w:pPr>
            <w:r>
              <w:rPr>
                <w:rFonts w:ascii="Times New Roman" w:hAnsi="Times New Roman"/>
                <w:sz w:val="13"/>
              </w:rPr>
              <w:t>Direct Divine agency idiom.</w:t>
            </w:r>
          </w:p>
        </w:tc>
      </w:tr>
      <w:tr>
        <w:tc>
          <w:tcPr>
            <w:tcW w:type="dxa" w:w="3561"/>
            <w:vAlign w:val="top"/>
          </w:tcPr>
          <w:p>
            <w:pPr>
              <w:spacing w:after="0" w:line="223" w:lineRule="auto"/>
            </w:pPr>
            <w:r>
              <w:rPr>
                <w:rFonts w:ascii="Times New Roman" w:hAnsi="Times New Roman"/>
                <w:sz w:val="13"/>
              </w:rPr>
              <w:t>Deut. 9:12</w:t>
            </w:r>
          </w:p>
        </w:tc>
        <w:tc>
          <w:tcPr>
            <w:tcW w:type="dxa" w:w="3561"/>
            <w:vAlign w:val="top"/>
          </w:tcPr>
          <w:p>
            <w:pPr>
              <w:spacing w:after="0" w:line="223" w:lineRule="auto"/>
            </w:pPr>
            <w:r>
              <w:rPr>
                <w:rFonts w:ascii="Times New Roman" w:hAnsi="Times New Roman"/>
                <w:sz w:val="13"/>
              </w:rPr>
              <w:t>quickly turned aside</w:t>
            </w:r>
          </w:p>
        </w:tc>
        <w:tc>
          <w:tcPr>
            <w:tcW w:type="dxa" w:w="3561"/>
            <w:vAlign w:val="top"/>
          </w:tcPr>
          <w:p>
            <w:pPr>
              <w:spacing w:after="0" w:line="223" w:lineRule="auto"/>
            </w:pPr>
            <w:r>
              <w:rPr>
                <w:rFonts w:ascii="Times New Roman" w:hAnsi="Times New Roman"/>
                <w:sz w:val="13"/>
              </w:rPr>
              <w:t>Calf reported while Moses still on mountain.</w:t>
            </w:r>
          </w:p>
        </w:tc>
      </w:tr>
      <w:tr>
        <w:tc>
          <w:tcPr>
            <w:tcW w:type="dxa" w:w="3561"/>
            <w:vAlign w:val="top"/>
          </w:tcPr>
          <w:p>
            <w:pPr>
              <w:spacing w:after="0" w:line="223" w:lineRule="auto"/>
            </w:pPr>
            <w:r>
              <w:rPr>
                <w:rFonts w:ascii="Times New Roman" w:hAnsi="Times New Roman"/>
                <w:sz w:val="13"/>
              </w:rPr>
              <w:t>Deut. 9:17</w:t>
            </w:r>
          </w:p>
        </w:tc>
        <w:tc>
          <w:tcPr>
            <w:tcW w:type="dxa" w:w="3561"/>
            <w:vAlign w:val="top"/>
          </w:tcPr>
          <w:p>
            <w:pPr>
              <w:spacing w:after="0" w:line="223" w:lineRule="auto"/>
            </w:pPr>
            <w:r>
              <w:rPr>
                <w:rFonts w:ascii="Times New Roman" w:hAnsi="Times New Roman"/>
                <w:sz w:val="13"/>
              </w:rPr>
              <w:t>broken tablets</w:t>
            </w:r>
          </w:p>
        </w:tc>
        <w:tc>
          <w:tcPr>
            <w:tcW w:type="dxa" w:w="3561"/>
            <w:vAlign w:val="top"/>
          </w:tcPr>
          <w:p>
            <w:pPr>
              <w:spacing w:after="0" w:line="223" w:lineRule="auto"/>
            </w:pPr>
            <w:r>
              <w:rPr>
                <w:rFonts w:ascii="Times New Roman" w:hAnsi="Times New Roman"/>
                <w:sz w:val="13"/>
              </w:rPr>
              <w:t>Covenant-breach symbolism apt but not explicitly commanded.</w:t>
            </w:r>
          </w:p>
        </w:tc>
      </w:tr>
      <w:tr>
        <w:tc>
          <w:tcPr>
            <w:tcW w:type="dxa" w:w="3561"/>
            <w:vAlign w:val="top"/>
          </w:tcPr>
          <w:p>
            <w:pPr>
              <w:spacing w:after="0" w:line="223" w:lineRule="auto"/>
            </w:pPr>
            <w:r>
              <w:rPr>
                <w:rFonts w:ascii="Times New Roman" w:hAnsi="Times New Roman"/>
                <w:sz w:val="13"/>
              </w:rPr>
              <w:t>Deut. 9:18</w:t>
            </w:r>
          </w:p>
        </w:tc>
        <w:tc>
          <w:tcPr>
            <w:tcW w:type="dxa" w:w="3561"/>
            <w:vAlign w:val="top"/>
          </w:tcPr>
          <w:p>
            <w:pPr>
              <w:spacing w:after="0" w:line="223" w:lineRule="auto"/>
            </w:pPr>
            <w:r>
              <w:rPr>
                <w:rFonts w:ascii="Times New Roman" w:hAnsi="Times New Roman"/>
                <w:sz w:val="13"/>
              </w:rPr>
              <w:t>second 40-day prostration</w:t>
            </w:r>
          </w:p>
        </w:tc>
        <w:tc>
          <w:tcPr>
            <w:tcW w:type="dxa" w:w="3561"/>
            <w:vAlign w:val="top"/>
          </w:tcPr>
          <w:p>
            <w:pPr>
              <w:spacing w:after="0" w:line="223" w:lineRule="auto"/>
            </w:pPr>
            <w:r>
              <w:rPr>
                <w:rFonts w:ascii="Times New Roman" w:hAnsi="Times New Roman"/>
                <w:sz w:val="13"/>
              </w:rPr>
              <w:t>Intercession because of Israel’s sin.</w:t>
            </w:r>
          </w:p>
        </w:tc>
      </w:tr>
      <w:tr>
        <w:tc>
          <w:tcPr>
            <w:tcW w:type="dxa" w:w="3561"/>
            <w:vAlign w:val="top"/>
          </w:tcPr>
          <w:p>
            <w:pPr>
              <w:spacing w:after="0" w:line="223" w:lineRule="auto"/>
            </w:pPr>
            <w:r>
              <w:rPr>
                <w:rFonts w:ascii="Times New Roman" w:hAnsi="Times New Roman"/>
                <w:sz w:val="13"/>
              </w:rPr>
              <w:t>Deut. 9:20</w:t>
            </w:r>
          </w:p>
        </w:tc>
        <w:tc>
          <w:tcPr>
            <w:tcW w:type="dxa" w:w="3561"/>
            <w:vAlign w:val="top"/>
          </w:tcPr>
          <w:p>
            <w:pPr>
              <w:spacing w:after="0" w:line="223" w:lineRule="auto"/>
            </w:pPr>
            <w:r>
              <w:rPr>
                <w:rFonts w:ascii="Times New Roman" w:hAnsi="Times New Roman"/>
                <w:sz w:val="13"/>
              </w:rPr>
              <w:t>Aaron</w:t>
            </w:r>
          </w:p>
        </w:tc>
        <w:tc>
          <w:tcPr>
            <w:tcW w:type="dxa" w:w="3561"/>
            <w:vAlign w:val="top"/>
          </w:tcPr>
          <w:p>
            <w:pPr>
              <w:spacing w:after="0" w:line="223" w:lineRule="auto"/>
            </w:pPr>
            <w:r>
              <w:rPr>
                <w:rFonts w:ascii="Times New Roman" w:hAnsi="Times New Roman"/>
                <w:sz w:val="13"/>
              </w:rPr>
              <w:t>Also under severe Divine anger; Moses intercedes.</w:t>
            </w:r>
          </w:p>
        </w:tc>
      </w:tr>
      <w:tr>
        <w:tc>
          <w:tcPr>
            <w:tcW w:type="dxa" w:w="3561"/>
            <w:vAlign w:val="top"/>
          </w:tcPr>
          <w:p>
            <w:pPr>
              <w:spacing w:after="0" w:line="223" w:lineRule="auto"/>
            </w:pPr>
            <w:r>
              <w:rPr>
                <w:rFonts w:ascii="Times New Roman" w:hAnsi="Times New Roman"/>
                <w:sz w:val="13"/>
              </w:rPr>
              <w:t>Deut. 9:21 / Ex. 32:20</w:t>
            </w:r>
          </w:p>
        </w:tc>
        <w:tc>
          <w:tcPr>
            <w:tcW w:type="dxa" w:w="3561"/>
            <w:vAlign w:val="top"/>
          </w:tcPr>
          <w:p>
            <w:pPr>
              <w:spacing w:after="0" w:line="223" w:lineRule="auto"/>
            </w:pPr>
            <w:r>
              <w:rPr>
                <w:rFonts w:ascii="Times New Roman" w:hAnsi="Times New Roman"/>
                <w:sz w:val="13"/>
              </w:rPr>
              <w:t>calf destroyed</w:t>
            </w:r>
          </w:p>
        </w:tc>
        <w:tc>
          <w:tcPr>
            <w:tcW w:type="dxa" w:w="3561"/>
            <w:vAlign w:val="top"/>
          </w:tcPr>
          <w:p>
            <w:pPr>
              <w:spacing w:after="0" w:line="223" w:lineRule="auto"/>
            </w:pPr>
            <w:r>
              <w:rPr>
                <w:rFonts w:ascii="Times New Roman" w:hAnsi="Times New Roman"/>
                <w:sz w:val="13"/>
              </w:rPr>
              <w:t>Deuteronomy and Exodus preserve complementary details.</w:t>
            </w:r>
          </w:p>
        </w:tc>
      </w:tr>
      <w:tr>
        <w:tc>
          <w:tcPr>
            <w:tcW w:type="dxa" w:w="3561"/>
            <w:vAlign w:val="top"/>
          </w:tcPr>
          <w:p>
            <w:pPr>
              <w:spacing w:after="0" w:line="223" w:lineRule="auto"/>
            </w:pPr>
            <w:r>
              <w:rPr>
                <w:rFonts w:ascii="Times New Roman" w:hAnsi="Times New Roman"/>
                <w:sz w:val="13"/>
              </w:rPr>
              <w:t>Deut. 9:22</w:t>
            </w:r>
          </w:p>
        </w:tc>
        <w:tc>
          <w:tcPr>
            <w:tcW w:type="dxa" w:w="3561"/>
            <w:vAlign w:val="top"/>
          </w:tcPr>
          <w:p>
            <w:pPr>
              <w:spacing w:after="0" w:line="223" w:lineRule="auto"/>
            </w:pPr>
            <w:r>
              <w:rPr>
                <w:rFonts w:ascii="Times New Roman" w:hAnsi="Times New Roman"/>
                <w:sz w:val="13"/>
              </w:rPr>
              <w:t>Taberah/Massah/Kibroth-hattaavah</w:t>
            </w:r>
          </w:p>
        </w:tc>
        <w:tc>
          <w:tcPr>
            <w:tcW w:type="dxa" w:w="3561"/>
            <w:vAlign w:val="top"/>
          </w:tcPr>
          <w:p>
            <w:pPr>
              <w:spacing w:after="0" w:line="223" w:lineRule="auto"/>
            </w:pPr>
            <w:r>
              <w:rPr>
                <w:rFonts w:ascii="Times New Roman" w:hAnsi="Times New Roman"/>
                <w:sz w:val="13"/>
              </w:rPr>
              <w:t>Repeated provocations.</w:t>
            </w:r>
          </w:p>
        </w:tc>
      </w:tr>
      <w:tr>
        <w:tc>
          <w:tcPr>
            <w:tcW w:type="dxa" w:w="3561"/>
            <w:vAlign w:val="top"/>
          </w:tcPr>
          <w:p>
            <w:pPr>
              <w:spacing w:after="0" w:line="223" w:lineRule="auto"/>
            </w:pPr>
            <w:r>
              <w:rPr>
                <w:rFonts w:ascii="Times New Roman" w:hAnsi="Times New Roman"/>
                <w:sz w:val="13"/>
              </w:rPr>
              <w:t>Deut. 9:23</w:t>
            </w:r>
          </w:p>
        </w:tc>
        <w:tc>
          <w:tcPr>
            <w:tcW w:type="dxa" w:w="3561"/>
            <w:vAlign w:val="top"/>
          </w:tcPr>
          <w:p>
            <w:pPr>
              <w:spacing w:after="0" w:line="223" w:lineRule="auto"/>
            </w:pPr>
            <w:r>
              <w:rPr>
                <w:rFonts w:ascii="Times New Roman" w:hAnsi="Times New Roman"/>
                <w:sz w:val="13"/>
              </w:rPr>
              <w:t>Kadesh</w:t>
            </w:r>
          </w:p>
        </w:tc>
        <w:tc>
          <w:tcPr>
            <w:tcW w:type="dxa" w:w="3561"/>
            <w:vAlign w:val="top"/>
          </w:tcPr>
          <w:p>
            <w:pPr>
              <w:spacing w:after="0" w:line="223" w:lineRule="auto"/>
            </w:pPr>
            <w:r>
              <w:rPr>
                <w:rFonts w:ascii="Times New Roman" w:hAnsi="Times New Roman"/>
                <w:sz w:val="13"/>
              </w:rPr>
              <w:t>Unbelief and refusal to hear.</w:t>
            </w:r>
          </w:p>
        </w:tc>
      </w:tr>
      <w:tr>
        <w:tc>
          <w:tcPr>
            <w:tcW w:type="dxa" w:w="3561"/>
            <w:vAlign w:val="top"/>
          </w:tcPr>
          <w:p>
            <w:pPr>
              <w:spacing w:after="0" w:line="223" w:lineRule="auto"/>
            </w:pPr>
            <w:r>
              <w:rPr>
                <w:rFonts w:ascii="Times New Roman" w:hAnsi="Times New Roman"/>
                <w:sz w:val="13"/>
              </w:rPr>
              <w:t>Deut. 9:26–29</w:t>
            </w:r>
          </w:p>
        </w:tc>
        <w:tc>
          <w:tcPr>
            <w:tcW w:type="dxa" w:w="3561"/>
            <w:vAlign w:val="top"/>
          </w:tcPr>
          <w:p>
            <w:pPr>
              <w:spacing w:after="0" w:line="223" w:lineRule="auto"/>
            </w:pPr>
            <w:r>
              <w:rPr>
                <w:rFonts w:ascii="Times New Roman" w:hAnsi="Times New Roman"/>
                <w:sz w:val="13"/>
              </w:rPr>
              <w:t>threefold intercessory appeal</w:t>
            </w:r>
          </w:p>
        </w:tc>
        <w:tc>
          <w:tcPr>
            <w:tcW w:type="dxa" w:w="3561"/>
            <w:vAlign w:val="top"/>
          </w:tcPr>
          <w:p>
            <w:pPr>
              <w:spacing w:after="0" w:line="223" w:lineRule="auto"/>
            </w:pPr>
            <w:r>
              <w:rPr>
                <w:rFonts w:ascii="Times New Roman" w:hAnsi="Times New Roman"/>
                <w:sz w:val="13"/>
              </w:rPr>
              <w:t>Redeemed people; fathers’ covenant; Yahweh’s reputation.</w:t>
            </w:r>
          </w:p>
        </w:tc>
      </w:tr>
    </w:tbl>
    <w:p>
      <w:pPr>
        <w:pStyle w:val="Heading1"/>
      </w:pPr>
      <w:r>
        <w:t>RESIDUAL UNCERTAINTIES</w:t>
      </w:r>
    </w:p>
    <w:p>
      <w:pPr/>
      <w:r>
        <w:rPr>
          <w:i w:val="0"/>
        </w:rPr>
        <w:t>The chronology of Moses’ multiple forty-day periods is compressed across Exodus and Deuteronomy and has generated different harmonisations. The secure correction is that Deuteronomy 9:9 belongs to the initial ascent before the calf was discovered, while verse 18 explicitly describes later intercession because of the sin.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