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11</w:t>
      </w:r>
    </w:p>
    <w:p>
      <w:pPr>
        <w:pStyle w:val="Subtitle"/>
      </w:pPr>
      <w:r>
        <w:t>THE GENERATION THAT SAW • A LAND DEPENDENT ON HEAVEN • EARLY AND LATTER RAIN • LAY UP THESE WORDS • TEACH THE CHILDREN • BORDERS OF THE PROMISE • BLESSING AND CURSE • GERIZIM AND EBAL</w:t>
      </w:r>
    </w:p>
    <w:p>
      <w:pPr/>
      <w:r>
        <w:rPr>
          <w:i/>
        </w:rPr>
        <w:t>H. P. Mansfield Bible notes — checked and arranged in verse-by-verse Expositor style</w:t>
      </w:r>
    </w:p>
    <w:p>
      <w:pPr/>
      <w:r>
        <w:rPr>
          <w:i w:val="0"/>
        </w:rPr>
        <w:t>Source: HPB 04-Deu01-Jud04.PDF pp. 20–21; cross-checked with Mansfield’s Deuteronomy Expositor Chapter 11.</w:t>
      </w:r>
    </w:p>
    <w:p>
      <w:pPr>
        <w:pStyle w:val="Heading1"/>
      </w:pPr>
      <w:r>
        <w:t>CHAPTER OVERVIEW</w:t>
      </w:r>
    </w:p>
    <w:p>
      <w:pPr/>
      <w:r>
        <w:rPr>
          <w:i w:val="0"/>
        </w:rPr>
        <w:t>Moses appeals to experienced memory. Those before him have known Yahweh’s discipline and witnessed His mighty acts; such knowledge increases responsibility rather than merely supplying religious history.</w:t>
      </w:r>
    </w:p>
    <w:p>
      <w:pPr/>
      <w:r>
        <w:rPr>
          <w:i w:val="0"/>
        </w:rPr>
        <w:t>Canaan is deliberately contrasted with Egypt as a land whose fertility depends upon rain from heaven. Covenant blessing therefore teaches dependence: love, obedience and faithful transmission of the word are set before Israel together with blessing and curse.</w:t>
      </w:r>
    </w:p>
    <w:p>
      <w:pPr>
        <w:pStyle w:val="Heading1"/>
      </w:pPr>
      <w:r>
        <w:t>WHY ISRAEL SHOULD OBEY — DEUTERONOMY 11:1–7</w:t>
      </w:r>
    </w:p>
    <w:p>
      <w:pPr>
        <w:pStyle w:val="Heading2"/>
      </w:pPr>
      <w:r>
        <w:t>Deuteronomy 11:1 — love and keep</w:t>
      </w:r>
    </w:p>
    <w:p>
      <w:pPr/>
      <w:r>
        <w:rPr>
          <w:i w:val="0"/>
        </w:rPr>
        <w:t>Israel must love Yahweh and keep His charge, statutes, judgments and commandments continually.</w:t>
      </w:r>
    </w:p>
    <w:p>
      <w:pPr/>
      <w:r>
        <w:rPr>
          <w:i w:val="0"/>
        </w:rPr>
        <w:t>The verse naturally concludes the appeal of chapter 10 as well as introducing chapter 11; modern chapter divisions are secondary.</w:t>
      </w:r>
    </w:p>
    <w:p>
      <w:pPr>
        <w:pStyle w:val="Heading2"/>
      </w:pPr>
      <w:r>
        <w:t>Deuteronomy 11:2 — not merely the children</w:t>
      </w:r>
    </w:p>
    <w:p>
      <w:pPr/>
      <w:r>
        <w:rPr>
          <w:i w:val="0"/>
        </w:rPr>
        <w:t>Moses addresses those who have personally known/experienced Yahweh’s `musar`, discipline/instruction, His greatness, mighty hand and stretched-out arm.</w:t>
      </w:r>
    </w:p>
    <w:p>
      <w:pPr/>
      <w:r>
        <w:rPr>
          <w:i w:val="0"/>
        </w:rPr>
        <w:t>Not every hearer could remember Egypt as an adult; the address can focus particularly on older members while speaking corporately to Israel. It should not be used to calculate exact ages for every person present.</w:t>
      </w:r>
    </w:p>
    <w:p>
      <w:pPr>
        <w:pStyle w:val="Heading2"/>
      </w:pPr>
      <w:r>
        <w:t>Deuteronomy 11:3–5 — Egypt and wilderness remembered</w:t>
      </w:r>
    </w:p>
    <w:p>
      <w:pPr/>
      <w:r>
        <w:rPr>
          <w:i w:val="0"/>
        </w:rPr>
        <w:t>Signs in Egypt, Pharaoh’s overthrow at the sea and Yahweh’s wilderness dealings are cited as evidence personally belonging to the nation’s memory.</w:t>
      </w:r>
    </w:p>
    <w:p>
      <w:pPr>
        <w:pStyle w:val="Heading2"/>
      </w:pPr>
      <w:r>
        <w:t>Deuteronomy 11:6 — Dathan and Abiram</w:t>
      </w:r>
    </w:p>
    <w:p>
      <w:pPr/>
      <w:r>
        <w:rPr>
          <w:i w:val="0"/>
        </w:rPr>
        <w:t>Moses recalls the earth swallowing Dathan and Abiram, their households, tents and living substance.</w:t>
      </w:r>
    </w:p>
    <w:p>
      <w:pPr/>
      <w:r>
        <w:rPr>
          <w:i w:val="0"/>
        </w:rPr>
        <w:t>Korah is not named here. Mansfield suggests this omission was out of consideration for Korah’s surviving descendants, but Scripture gives no reason for the omission. Numbers 26:11 does explicitly state that Korah’s sons did not die.</w:t>
      </w:r>
    </w:p>
    <w:p>
      <w:pPr>
        <w:pStyle w:val="Heading2"/>
      </w:pPr>
      <w:r>
        <w:t>Deuteronomy 11:7 — your eyes have seen</w:t>
      </w:r>
    </w:p>
    <w:p>
      <w:pPr/>
      <w:r>
        <w:rPr>
          <w:i w:val="0"/>
        </w:rPr>
        <w:t>Experienced revelation creates responsibility: Israel has seen Yahweh’s great acts.</w:t>
      </w:r>
    </w:p>
    <w:p>
      <w:pPr>
        <w:pStyle w:val="Heading1"/>
      </w:pPr>
      <w:r>
        <w:t>A LAND DEPENDENT ON RAIN — DEUTERONOMY 11:8–12</w:t>
      </w:r>
    </w:p>
    <w:p>
      <w:pPr>
        <w:pStyle w:val="Heading2"/>
      </w:pPr>
      <w:r>
        <w:t>Deuteronomy 11:8–9 — strength to possess and prolonged days</w:t>
      </w:r>
    </w:p>
    <w:p>
      <w:pPr/>
      <w:r>
        <w:rPr>
          <w:i w:val="0"/>
        </w:rPr>
        <w:t>Obedience is linked with strength to enter and continued tenure in the land sworn to the fathers.</w:t>
      </w:r>
    </w:p>
    <w:p>
      <w:pPr>
        <w:pStyle w:val="Heading2"/>
      </w:pPr>
      <w:r>
        <w:t>Deuteronomy 11:10 — Egypt “wateredst it with thy foot”</w:t>
      </w:r>
    </w:p>
    <w:p>
      <w:pPr/>
      <w:r>
        <w:rPr>
          <w:i w:val="0"/>
        </w:rPr>
        <w:t>Egyptian agriculture depended heavily on controlled Nile irrigation. The phrase “wateredst it with thy foot” may refer to foot-operated irrigation, treading/opening small channels, or laborious human control more generally.</w:t>
      </w:r>
    </w:p>
    <w:p>
      <w:pPr/>
      <w:r>
        <w:rPr>
          <w:i w:val="0"/>
        </w:rPr>
        <w:t>Mansfield’s identification with a specific “shadorf” foot pump is unreliable: the well-known shaduf is a hand-operated counterweighted lifting device, while other treadle mechanisms also existed. The biblical phrase does not name a machine.</w:t>
      </w:r>
    </w:p>
    <w:p>
      <w:pPr>
        <w:pStyle w:val="Heading2"/>
      </w:pPr>
      <w:r>
        <w:t>Deuteronomy 11:11–12 — rain of heaven and Yahweh’s care</w:t>
      </w:r>
    </w:p>
    <w:p>
      <w:pPr/>
      <w:r>
        <w:rPr>
          <w:i w:val="0"/>
        </w:rPr>
        <w:t>Canaan is a land of hills and valleys drinking rain from heaven, a land Yahweh cares for, with His eyes upon it from the beginning to the end of the year.</w:t>
      </w:r>
    </w:p>
    <w:p>
      <w:pPr/>
      <w:r>
        <w:rPr>
          <w:i w:val="0"/>
        </w:rPr>
        <w:t>The contrast is theological dependence, not the claim that Egypt had literally no rainfall or no dependence upon God.</w:t>
      </w:r>
    </w:p>
    <w:p>
      <w:pPr>
        <w:pStyle w:val="Heading1"/>
      </w:pPr>
      <w:r>
        <w:t>RAIN AND COVENANT LOYALTY — DEUTERONOMY 11:13–17</w:t>
      </w:r>
    </w:p>
    <w:p>
      <w:pPr>
        <w:pStyle w:val="Heading2"/>
      </w:pPr>
      <w:r>
        <w:t>Deuteronomy 11:13 — love and serve with whole self</w:t>
      </w:r>
    </w:p>
    <w:p>
      <w:pPr/>
      <w:r>
        <w:rPr>
          <w:i w:val="0"/>
        </w:rPr>
        <w:t>Diligent hearing is expressed through loving Yahweh and serving Him with all heart and nephesh.</w:t>
      </w:r>
    </w:p>
    <w:p>
      <w:pPr/>
      <w:r>
        <w:rPr>
          <w:i w:val="0"/>
        </w:rPr>
        <w:t>`Nephesh` again means life/self/person.</w:t>
      </w:r>
    </w:p>
    <w:p>
      <w:pPr>
        <w:pStyle w:val="Heading2"/>
      </w:pPr>
      <w:r>
        <w:t>Deuteronomy 11:14 — early and latter rain</w:t>
      </w:r>
    </w:p>
    <w:p>
      <w:pPr/>
      <w:r>
        <w:rPr>
          <w:i w:val="0"/>
        </w:rPr>
        <w:t>The text distinguishes general rain and the seasonal `yoreh`/early rain and `malqosh`/latter rain, supporting grain, new wine and oil.</w:t>
      </w:r>
    </w:p>
    <w:p>
      <w:pPr/>
      <w:r>
        <w:rPr>
          <w:i w:val="0"/>
        </w:rPr>
        <w:t>Exact modern month-by-month schedules vary with climate and region; the lexical distinction is secure while rigid calendar assignments should be avoided.</w:t>
      </w:r>
    </w:p>
    <w:p>
      <w:pPr>
        <w:pStyle w:val="Heading2"/>
      </w:pPr>
      <w:r>
        <w:t>Deuteronomy 11:15 — grass and fullness</w:t>
      </w:r>
    </w:p>
    <w:p>
      <w:pPr/>
      <w:r>
        <w:rPr>
          <w:i w:val="0"/>
        </w:rPr>
        <w:t>Yahweh’s provision extends to livestock and human satisfaction.</w:t>
      </w:r>
    </w:p>
    <w:p>
      <w:pPr>
        <w:pStyle w:val="Heading2"/>
      </w:pPr>
      <w:r>
        <w:t>Deuteronomy 11:16–17 — beware the deceived heart</w:t>
      </w:r>
    </w:p>
    <w:p>
      <w:pPr/>
      <w:r>
        <w:rPr>
          <w:i w:val="0"/>
        </w:rPr>
        <w:t>If the heart turns to other gods, Yahweh shuts heaven, rain ceases and the land fails.</w:t>
      </w:r>
    </w:p>
    <w:p>
      <w:pPr/>
      <w:r>
        <w:rPr>
          <w:i w:val="0"/>
        </w:rPr>
        <w:t>The agricultural covenant is not a universal promise that every drought everywhere is a direct measurement of individual morality.</w:t>
      </w:r>
    </w:p>
    <w:p>
      <w:pPr>
        <w:pStyle w:val="Heading1"/>
      </w:pPr>
      <w:r>
        <w:t>LAY UP AND TEACH THE WORD — DEUTERONOMY 11:18–21</w:t>
      </w:r>
    </w:p>
    <w:p>
      <w:pPr>
        <w:pStyle w:val="Heading2"/>
      </w:pPr>
      <w:r>
        <w:t>Deuteronomy 11:18 — heart, nephesh, hand and eyes</w:t>
      </w:r>
    </w:p>
    <w:p>
      <w:pPr/>
      <w:r>
        <w:rPr>
          <w:i w:val="0"/>
        </w:rPr>
        <w:t>Yahweh’s words are to be laid in heart and life, bound as signs on hand and between the eyes.</w:t>
      </w:r>
    </w:p>
    <w:p>
      <w:pPr>
        <w:pStyle w:val="Heading2"/>
      </w:pPr>
      <w:r>
        <w:t>Deuteronomy 11:19–20 — teach continually</w:t>
      </w:r>
    </w:p>
    <w:p>
      <w:pPr/>
      <w:r>
        <w:rPr>
          <w:i w:val="0"/>
        </w:rPr>
        <w:t>Parents teach children while sitting, walking, lying down and rising, and write the words on doorposts and gates.</w:t>
      </w:r>
    </w:p>
    <w:p>
      <w:pPr/>
      <w:r>
        <w:rPr>
          <w:i w:val="0"/>
        </w:rPr>
        <w:t>This deliberate repetition mirrors Deuteronomy 6 and makes family memory part of covenant survival.</w:t>
      </w:r>
    </w:p>
    <w:p>
      <w:pPr>
        <w:pStyle w:val="Heading2"/>
      </w:pPr>
      <w:r>
        <w:t>Deuteronomy 11:21 — days as the heavens above earth</w:t>
      </w:r>
    </w:p>
    <w:p>
      <w:pPr/>
      <w:r>
        <w:rPr>
          <w:i w:val="0"/>
        </w:rPr>
        <w:t>Faithful transmission is linked with prolonged national life in the land.</w:t>
      </w:r>
    </w:p>
    <w:p>
      <w:pPr>
        <w:pStyle w:val="Heading1"/>
      </w:pPr>
      <w:r>
        <w:t>POSSESSION AND THE BORDERS — DEUTERONOMY 11:22–25</w:t>
      </w:r>
    </w:p>
    <w:p>
      <w:pPr>
        <w:pStyle w:val="Heading2"/>
      </w:pPr>
      <w:r>
        <w:t>Deuteronomy 11:22 — love, walk and cleave</w:t>
      </w:r>
    </w:p>
    <w:p>
      <w:pPr/>
      <w:r>
        <w:rPr>
          <w:i w:val="0"/>
        </w:rPr>
        <w:t>Diligent keeping is summarised through love of Yahweh, walking in His ways and cleaving to Him.</w:t>
      </w:r>
    </w:p>
    <w:p>
      <w:pPr>
        <w:pStyle w:val="Heading2"/>
      </w:pPr>
      <w:r>
        <w:t>Deuteronomy 11:23–25 — greater nations and fear</w:t>
      </w:r>
    </w:p>
    <w:p>
      <w:pPr/>
      <w:r>
        <w:rPr>
          <w:i w:val="0"/>
        </w:rPr>
        <w:t>Yahweh will dispossess stronger peoples and place Israel’s dread upon the land when Israel acts under His covenant.</w:t>
      </w:r>
    </w:p>
    <w:p>
      <w:pPr>
        <w:pStyle w:val="Heading2"/>
      </w:pPr>
      <w:r>
        <w:t>Deuteronomy 11:24 — wilderness to Lebanon, Euphrates to western sea</w:t>
      </w:r>
    </w:p>
    <w:p>
      <w:pPr/>
      <w:r>
        <w:rPr>
          <w:i w:val="0"/>
        </w:rPr>
        <w:t>The territorial formula runs from wilderness/Lebanon to the Euphrates and the “uttermost/western sea,” the Mediterranean.</w:t>
      </w:r>
    </w:p>
    <w:p>
      <w:pPr/>
      <w:r>
        <w:rPr>
          <w:i w:val="0"/>
        </w:rPr>
        <w:t>This is broader than the land actually occupied continuously by Israel under Joshua and should be read as the covenant horizon of possession rather than a claim that every point was immediately settled.</w:t>
      </w:r>
    </w:p>
    <w:p>
      <w:pPr>
        <w:pStyle w:val="Heading1"/>
      </w:pPr>
      <w:r>
        <w:t>BLESSING AND CURSE — DEUTERONOMY 11:26–32</w:t>
      </w:r>
    </w:p>
    <w:p>
      <w:pPr>
        <w:pStyle w:val="Heading2"/>
      </w:pPr>
      <w:r>
        <w:t>Deuteronomy 11:26–28 — alternatives set plainly</w:t>
      </w:r>
    </w:p>
    <w:p>
      <w:pPr/>
      <w:r>
        <w:rPr>
          <w:i w:val="0"/>
        </w:rPr>
        <w:t>Moses sets blessing and curse before Israel: blessing if they hear Yahweh’s commandments, curse if they turn aside toward other gods.</w:t>
      </w:r>
    </w:p>
    <w:p>
      <w:pPr>
        <w:pStyle w:val="Heading2"/>
      </w:pPr>
      <w:r>
        <w:t>Deuteronomy 11:29–30 — Gerizim and Ebal</w:t>
      </w:r>
    </w:p>
    <w:p>
      <w:pPr/>
      <w:r>
        <w:rPr>
          <w:i w:val="0"/>
        </w:rPr>
        <w:t>After crossing Jordan, blessing is to be associated with Mount Gerizim and curse with Mount Ebal, near the oaks of Moreh in the Shechem region.</w:t>
      </w:r>
    </w:p>
    <w:p>
      <w:pPr/>
      <w:r>
        <w:rPr>
          <w:i w:val="0"/>
        </w:rPr>
        <w:t>The geographical description has generated discussion about the precise route/phrasing, but Joshua 8 records the covenant ceremony at Ebal/Gerizim.</w:t>
      </w:r>
    </w:p>
    <w:p>
      <w:pPr>
        <w:pStyle w:val="Heading2"/>
      </w:pPr>
      <w:r>
        <w:t>Deuteronomy 11:31–32 — crossing demands doing</w:t>
      </w:r>
    </w:p>
    <w:p>
      <w:pPr/>
      <w:r>
        <w:rPr>
          <w:i w:val="0"/>
        </w:rPr>
        <w:t>Israel is about to cross and possess; therefore it must observe all the statutes and judgments set before it.</w:t>
      </w:r>
    </w:p>
    <w:p>
      <w:pPr>
        <w:pStyle w:val="Heading1"/>
      </w:pPr>
      <w:r>
        <w:t>PRINCIPAL THEMES</w:t>
      </w:r>
    </w:p>
    <w:p>
      <w:pPr>
        <w:ind w:left="259" w:hanging="202"/>
      </w:pPr>
      <w:r>
        <w:rPr>
          <w:b/>
        </w:rPr>
        <w:t xml:space="preserve">• </w:t>
      </w:r>
      <w:r>
        <w:t>Experienced knowledge of Yahweh increases responsibility.</w:t>
      </w:r>
    </w:p>
    <w:p>
      <w:pPr>
        <w:ind w:left="259" w:hanging="202"/>
      </w:pPr>
      <w:r>
        <w:rPr>
          <w:b/>
        </w:rPr>
        <w:t xml:space="preserve">• </w:t>
      </w:r>
      <w:r>
        <w:t>Korah’s omission in verse 6 has no inspired explanation; his sons’ survival is stated elsewhere.</w:t>
      </w:r>
    </w:p>
    <w:p>
      <w:pPr>
        <w:ind w:left="259" w:hanging="202"/>
      </w:pPr>
      <w:r>
        <w:rPr>
          <w:b/>
        </w:rPr>
        <w:t xml:space="preserve">• </w:t>
      </w:r>
      <w:r>
        <w:t>“Watered with thy foot” describes human-controlled irrigation but does not identify one particular Egyptian device.</w:t>
      </w:r>
    </w:p>
    <w:p>
      <w:pPr>
        <w:ind w:left="259" w:hanging="202"/>
      </w:pPr>
      <w:r>
        <w:rPr>
          <w:b/>
        </w:rPr>
        <w:t xml:space="preserve">• </w:t>
      </w:r>
      <w:r>
        <w:t>Canaan’s dependence on heavenly rain is a covenant lesson in dependence.</w:t>
      </w:r>
    </w:p>
    <w:p>
      <w:pPr>
        <w:ind w:left="259" w:hanging="202"/>
      </w:pPr>
      <w:r>
        <w:rPr>
          <w:b/>
        </w:rPr>
        <w:t xml:space="preserve">• </w:t>
      </w:r>
      <w:r>
        <w:t>Early and latter rain are distinct seasonal terms; rigid modern dating is unnecessary.</w:t>
      </w:r>
    </w:p>
    <w:p>
      <w:pPr>
        <w:ind w:left="259" w:hanging="202"/>
      </w:pPr>
      <w:r>
        <w:rPr>
          <w:b/>
        </w:rPr>
        <w:t xml:space="preserve">• </w:t>
      </w:r>
      <w:r>
        <w:t>The agricultural covenant should not be universalised into simplistic claims about every drought.</w:t>
      </w:r>
    </w:p>
    <w:p>
      <w:pPr>
        <w:ind w:left="259" w:hanging="202"/>
      </w:pPr>
      <w:r>
        <w:rPr>
          <w:b/>
        </w:rPr>
        <w:t xml:space="preserve">• </w:t>
      </w:r>
      <w:r>
        <w:t>The word must be deliberately implanted and taught within family life.</w:t>
      </w:r>
    </w:p>
    <w:p>
      <w:pPr>
        <w:ind w:left="259" w:hanging="202"/>
      </w:pPr>
      <w:r>
        <w:rPr>
          <w:b/>
        </w:rPr>
        <w:t xml:space="preserve">• </w:t>
      </w:r>
      <w:r>
        <w:t>The Euphrates-to-Mediterranean formula expresses the covenant territorial horizon, not necessarily immediate continuous settlement.</w:t>
      </w:r>
    </w:p>
    <w:p>
      <w:pPr>
        <w:ind w:left="259" w:hanging="202"/>
      </w:pPr>
      <w:r>
        <w:rPr>
          <w:b/>
        </w:rPr>
        <w:t xml:space="preserve">• </w:t>
      </w:r>
      <w:r>
        <w:t>Blessing and curse are tied to hearing or turning aside.</w:t>
      </w:r>
    </w:p>
    <w:p>
      <w:pPr>
        <w:ind w:left="259" w:hanging="202"/>
      </w:pPr>
      <w:r>
        <w:rPr>
          <w:b/>
        </w:rPr>
        <w:t xml:space="preserve">• </w:t>
      </w:r>
      <w:r>
        <w:t>Gerizim and Ebal become visible covenant witnesses after entry.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11:2</w:t>
            </w:r>
          </w:p>
        </w:tc>
        <w:tc>
          <w:tcPr>
            <w:tcW w:type="dxa" w:w="3561"/>
            <w:vAlign w:val="top"/>
          </w:tcPr>
          <w:p>
            <w:pPr>
              <w:spacing w:after="0" w:line="223" w:lineRule="auto"/>
            </w:pPr>
            <w:r>
              <w:rPr>
                <w:rFonts w:ascii="Times New Roman" w:hAnsi="Times New Roman"/>
                <w:sz w:val="13"/>
              </w:rPr>
              <w:t>musar</w:t>
            </w:r>
          </w:p>
        </w:tc>
        <w:tc>
          <w:tcPr>
            <w:tcW w:type="dxa" w:w="3561"/>
            <w:vAlign w:val="top"/>
          </w:tcPr>
          <w:p>
            <w:pPr>
              <w:spacing w:after="0" w:line="223" w:lineRule="auto"/>
            </w:pPr>
            <w:r>
              <w:rPr>
                <w:rFonts w:ascii="Times New Roman" w:hAnsi="Times New Roman"/>
                <w:sz w:val="13"/>
              </w:rPr>
              <w:t>Discipline/instruction.</w:t>
            </w:r>
          </w:p>
        </w:tc>
      </w:tr>
      <w:tr>
        <w:tc>
          <w:tcPr>
            <w:tcW w:type="dxa" w:w="3561"/>
            <w:vAlign w:val="top"/>
          </w:tcPr>
          <w:p>
            <w:pPr>
              <w:spacing w:after="0" w:line="223" w:lineRule="auto"/>
            </w:pPr>
            <w:r>
              <w:rPr>
                <w:rFonts w:ascii="Times New Roman" w:hAnsi="Times New Roman"/>
                <w:sz w:val="13"/>
              </w:rPr>
              <w:t>Deut. 11:6</w:t>
            </w:r>
          </w:p>
        </w:tc>
        <w:tc>
          <w:tcPr>
            <w:tcW w:type="dxa" w:w="3561"/>
            <w:vAlign w:val="top"/>
          </w:tcPr>
          <w:p>
            <w:pPr>
              <w:spacing w:after="0" w:line="223" w:lineRule="auto"/>
            </w:pPr>
            <w:r>
              <w:rPr>
                <w:rFonts w:ascii="Times New Roman" w:hAnsi="Times New Roman"/>
                <w:sz w:val="13"/>
              </w:rPr>
              <w:t>Dathan and Abiram</w:t>
            </w:r>
          </w:p>
        </w:tc>
        <w:tc>
          <w:tcPr>
            <w:tcW w:type="dxa" w:w="3561"/>
            <w:vAlign w:val="top"/>
          </w:tcPr>
          <w:p>
            <w:pPr>
              <w:spacing w:after="0" w:line="223" w:lineRule="auto"/>
            </w:pPr>
            <w:r>
              <w:rPr>
                <w:rFonts w:ascii="Times New Roman" w:hAnsi="Times New Roman"/>
                <w:sz w:val="13"/>
              </w:rPr>
              <w:t>Korah omitted; reason unstated.</w:t>
            </w:r>
          </w:p>
        </w:tc>
      </w:tr>
      <w:tr>
        <w:tc>
          <w:tcPr>
            <w:tcW w:type="dxa" w:w="3561"/>
            <w:vAlign w:val="top"/>
          </w:tcPr>
          <w:p>
            <w:pPr>
              <w:spacing w:after="0" w:line="223" w:lineRule="auto"/>
            </w:pPr>
            <w:r>
              <w:rPr>
                <w:rFonts w:ascii="Times New Roman" w:hAnsi="Times New Roman"/>
                <w:sz w:val="13"/>
              </w:rPr>
              <w:t>Num. 26:11</w:t>
            </w:r>
          </w:p>
        </w:tc>
        <w:tc>
          <w:tcPr>
            <w:tcW w:type="dxa" w:w="3561"/>
            <w:vAlign w:val="top"/>
          </w:tcPr>
          <w:p>
            <w:pPr>
              <w:spacing w:after="0" w:line="223" w:lineRule="auto"/>
            </w:pPr>
            <w:r>
              <w:rPr>
                <w:rFonts w:ascii="Times New Roman" w:hAnsi="Times New Roman"/>
                <w:sz w:val="13"/>
              </w:rPr>
              <w:t>Korah’s sons</w:t>
            </w:r>
          </w:p>
        </w:tc>
        <w:tc>
          <w:tcPr>
            <w:tcW w:type="dxa" w:w="3561"/>
            <w:vAlign w:val="top"/>
          </w:tcPr>
          <w:p>
            <w:pPr>
              <w:spacing w:after="0" w:line="223" w:lineRule="auto"/>
            </w:pPr>
            <w:r>
              <w:rPr>
                <w:rFonts w:ascii="Times New Roman" w:hAnsi="Times New Roman"/>
                <w:sz w:val="13"/>
              </w:rPr>
              <w:t>Explicitly did not die.</w:t>
            </w:r>
          </w:p>
        </w:tc>
      </w:tr>
      <w:tr>
        <w:tc>
          <w:tcPr>
            <w:tcW w:type="dxa" w:w="3561"/>
            <w:vAlign w:val="top"/>
          </w:tcPr>
          <w:p>
            <w:pPr>
              <w:spacing w:after="0" w:line="223" w:lineRule="auto"/>
            </w:pPr>
            <w:r>
              <w:rPr>
                <w:rFonts w:ascii="Times New Roman" w:hAnsi="Times New Roman"/>
                <w:sz w:val="13"/>
              </w:rPr>
              <w:t>Deut. 11:10</w:t>
            </w:r>
          </w:p>
        </w:tc>
        <w:tc>
          <w:tcPr>
            <w:tcW w:type="dxa" w:w="3561"/>
            <w:vAlign w:val="top"/>
          </w:tcPr>
          <w:p>
            <w:pPr>
              <w:spacing w:after="0" w:line="223" w:lineRule="auto"/>
            </w:pPr>
            <w:r>
              <w:rPr>
                <w:rFonts w:ascii="Times New Roman" w:hAnsi="Times New Roman"/>
                <w:sz w:val="13"/>
              </w:rPr>
              <w:t>watered with foot</w:t>
            </w:r>
          </w:p>
        </w:tc>
        <w:tc>
          <w:tcPr>
            <w:tcW w:type="dxa" w:w="3561"/>
            <w:vAlign w:val="top"/>
          </w:tcPr>
          <w:p>
            <w:pPr>
              <w:spacing w:after="0" w:line="223" w:lineRule="auto"/>
            </w:pPr>
            <w:r>
              <w:rPr>
                <w:rFonts w:ascii="Times New Roman" w:hAnsi="Times New Roman"/>
                <w:sz w:val="13"/>
              </w:rPr>
              <w:t>Irrigation idiom; exact device uncertain.</w:t>
            </w:r>
          </w:p>
        </w:tc>
      </w:tr>
      <w:tr>
        <w:tc>
          <w:tcPr>
            <w:tcW w:type="dxa" w:w="3561"/>
            <w:vAlign w:val="top"/>
          </w:tcPr>
          <w:p>
            <w:pPr>
              <w:spacing w:after="0" w:line="223" w:lineRule="auto"/>
            </w:pPr>
            <w:r>
              <w:rPr>
                <w:rFonts w:ascii="Times New Roman" w:hAnsi="Times New Roman"/>
                <w:sz w:val="13"/>
              </w:rPr>
              <w:t>Egyptian shaduf</w:t>
            </w:r>
          </w:p>
        </w:tc>
        <w:tc>
          <w:tcPr>
            <w:tcW w:type="dxa" w:w="3561"/>
            <w:vAlign w:val="top"/>
          </w:tcPr>
          <w:p>
            <w:pPr>
              <w:spacing w:after="0" w:line="223" w:lineRule="auto"/>
            </w:pPr>
            <w:r>
              <w:rPr>
                <w:rFonts w:ascii="Times New Roman" w:hAnsi="Times New Roman"/>
                <w:sz w:val="13"/>
              </w:rPr>
              <w:t>hand-operated lever</w:t>
            </w:r>
          </w:p>
        </w:tc>
        <w:tc>
          <w:tcPr>
            <w:tcW w:type="dxa" w:w="3561"/>
            <w:vAlign w:val="top"/>
          </w:tcPr>
          <w:p>
            <w:pPr>
              <w:spacing w:after="0" w:line="223" w:lineRule="auto"/>
            </w:pPr>
            <w:r>
              <w:rPr>
                <w:rFonts w:ascii="Times New Roman" w:hAnsi="Times New Roman"/>
                <w:sz w:val="13"/>
              </w:rPr>
              <w:t>Mansfield ‘foot pump’ identification corrected.</w:t>
            </w:r>
          </w:p>
        </w:tc>
      </w:tr>
      <w:tr>
        <w:tc>
          <w:tcPr>
            <w:tcW w:type="dxa" w:w="3561"/>
            <w:vAlign w:val="top"/>
          </w:tcPr>
          <w:p>
            <w:pPr>
              <w:spacing w:after="0" w:line="223" w:lineRule="auto"/>
            </w:pPr>
            <w:r>
              <w:rPr>
                <w:rFonts w:ascii="Times New Roman" w:hAnsi="Times New Roman"/>
                <w:sz w:val="13"/>
              </w:rPr>
              <w:t>Deut. 11:11–12</w:t>
            </w:r>
          </w:p>
        </w:tc>
        <w:tc>
          <w:tcPr>
            <w:tcW w:type="dxa" w:w="3561"/>
            <w:vAlign w:val="top"/>
          </w:tcPr>
          <w:p>
            <w:pPr>
              <w:spacing w:after="0" w:line="223" w:lineRule="auto"/>
            </w:pPr>
            <w:r>
              <w:rPr>
                <w:rFonts w:ascii="Times New Roman" w:hAnsi="Times New Roman"/>
                <w:sz w:val="13"/>
              </w:rPr>
              <w:t>rain from heaven</w:t>
            </w:r>
          </w:p>
        </w:tc>
        <w:tc>
          <w:tcPr>
            <w:tcW w:type="dxa" w:w="3561"/>
            <w:vAlign w:val="top"/>
          </w:tcPr>
          <w:p>
            <w:pPr>
              <w:spacing w:after="0" w:line="223" w:lineRule="auto"/>
            </w:pPr>
            <w:r>
              <w:rPr>
                <w:rFonts w:ascii="Times New Roman" w:hAnsi="Times New Roman"/>
                <w:sz w:val="13"/>
              </w:rPr>
              <w:t>Canaan dependence and Divine care.</w:t>
            </w:r>
          </w:p>
        </w:tc>
      </w:tr>
      <w:tr>
        <w:tc>
          <w:tcPr>
            <w:tcW w:type="dxa" w:w="3561"/>
            <w:vAlign w:val="top"/>
          </w:tcPr>
          <w:p>
            <w:pPr>
              <w:spacing w:after="0" w:line="223" w:lineRule="auto"/>
            </w:pPr>
            <w:r>
              <w:rPr>
                <w:rFonts w:ascii="Times New Roman" w:hAnsi="Times New Roman"/>
                <w:sz w:val="13"/>
              </w:rPr>
              <w:t>Deut. 11:13</w:t>
            </w:r>
          </w:p>
        </w:tc>
        <w:tc>
          <w:tcPr>
            <w:tcW w:type="dxa" w:w="3561"/>
            <w:vAlign w:val="top"/>
          </w:tcPr>
          <w:p>
            <w:pPr>
              <w:spacing w:after="0" w:line="223" w:lineRule="auto"/>
            </w:pPr>
            <w:r>
              <w:rPr>
                <w:rFonts w:ascii="Times New Roman" w:hAnsi="Times New Roman"/>
                <w:sz w:val="13"/>
              </w:rPr>
              <w:t>nephesh</w:t>
            </w:r>
          </w:p>
        </w:tc>
        <w:tc>
          <w:tcPr>
            <w:tcW w:type="dxa" w:w="3561"/>
            <w:vAlign w:val="top"/>
          </w:tcPr>
          <w:p>
            <w:pPr>
              <w:spacing w:after="0" w:line="223" w:lineRule="auto"/>
            </w:pPr>
            <w:r>
              <w:rPr>
                <w:rFonts w:ascii="Times New Roman" w:hAnsi="Times New Roman"/>
                <w:sz w:val="13"/>
              </w:rPr>
              <w:t>Life/self/person.</w:t>
            </w:r>
          </w:p>
        </w:tc>
      </w:tr>
      <w:tr>
        <w:tc>
          <w:tcPr>
            <w:tcW w:type="dxa" w:w="3561"/>
            <w:vAlign w:val="top"/>
          </w:tcPr>
          <w:p>
            <w:pPr>
              <w:spacing w:after="0" w:line="223" w:lineRule="auto"/>
            </w:pPr>
            <w:r>
              <w:rPr>
                <w:rFonts w:ascii="Times New Roman" w:hAnsi="Times New Roman"/>
                <w:sz w:val="13"/>
              </w:rPr>
              <w:t>Deut. 11:14</w:t>
            </w:r>
          </w:p>
        </w:tc>
        <w:tc>
          <w:tcPr>
            <w:tcW w:type="dxa" w:w="3561"/>
            <w:vAlign w:val="top"/>
          </w:tcPr>
          <w:p>
            <w:pPr>
              <w:spacing w:after="0" w:line="223" w:lineRule="auto"/>
            </w:pPr>
            <w:r>
              <w:rPr>
                <w:rFonts w:ascii="Times New Roman" w:hAnsi="Times New Roman"/>
                <w:sz w:val="13"/>
              </w:rPr>
              <w:t>yoreh / malqosh</w:t>
            </w:r>
          </w:p>
        </w:tc>
        <w:tc>
          <w:tcPr>
            <w:tcW w:type="dxa" w:w="3561"/>
            <w:vAlign w:val="top"/>
          </w:tcPr>
          <w:p>
            <w:pPr>
              <w:spacing w:after="0" w:line="223" w:lineRule="auto"/>
            </w:pPr>
            <w:r>
              <w:rPr>
                <w:rFonts w:ascii="Times New Roman" w:hAnsi="Times New Roman"/>
                <w:sz w:val="13"/>
              </w:rPr>
              <w:t>Early/former and latter seasonal rain.</w:t>
            </w:r>
          </w:p>
        </w:tc>
      </w:tr>
      <w:tr>
        <w:tc>
          <w:tcPr>
            <w:tcW w:type="dxa" w:w="3561"/>
            <w:vAlign w:val="top"/>
          </w:tcPr>
          <w:p>
            <w:pPr>
              <w:spacing w:after="0" w:line="223" w:lineRule="auto"/>
            </w:pPr>
            <w:r>
              <w:rPr>
                <w:rFonts w:ascii="Times New Roman" w:hAnsi="Times New Roman"/>
                <w:sz w:val="13"/>
              </w:rPr>
              <w:t>Deut. 11:16–17</w:t>
            </w:r>
          </w:p>
        </w:tc>
        <w:tc>
          <w:tcPr>
            <w:tcW w:type="dxa" w:w="3561"/>
            <w:vAlign w:val="top"/>
          </w:tcPr>
          <w:p>
            <w:pPr>
              <w:spacing w:after="0" w:line="223" w:lineRule="auto"/>
            </w:pPr>
            <w:r>
              <w:rPr>
                <w:rFonts w:ascii="Times New Roman" w:hAnsi="Times New Roman"/>
                <w:sz w:val="13"/>
              </w:rPr>
              <w:t>heaven shut</w:t>
            </w:r>
          </w:p>
        </w:tc>
        <w:tc>
          <w:tcPr>
            <w:tcW w:type="dxa" w:w="3561"/>
            <w:vAlign w:val="top"/>
          </w:tcPr>
          <w:p>
            <w:pPr>
              <w:spacing w:after="0" w:line="223" w:lineRule="auto"/>
            </w:pPr>
            <w:r>
              <w:rPr>
                <w:rFonts w:ascii="Times New Roman" w:hAnsi="Times New Roman"/>
                <w:sz w:val="13"/>
              </w:rPr>
              <w:t>Israel’s land-covenant sanction.</w:t>
            </w:r>
          </w:p>
        </w:tc>
      </w:tr>
      <w:tr>
        <w:tc>
          <w:tcPr>
            <w:tcW w:type="dxa" w:w="3561"/>
            <w:vAlign w:val="top"/>
          </w:tcPr>
          <w:p>
            <w:pPr>
              <w:spacing w:after="0" w:line="223" w:lineRule="auto"/>
            </w:pPr>
            <w:r>
              <w:rPr>
                <w:rFonts w:ascii="Times New Roman" w:hAnsi="Times New Roman"/>
                <w:sz w:val="13"/>
              </w:rPr>
              <w:t>Deut. 11:18–20</w:t>
            </w:r>
          </w:p>
        </w:tc>
        <w:tc>
          <w:tcPr>
            <w:tcW w:type="dxa" w:w="3561"/>
            <w:vAlign w:val="top"/>
          </w:tcPr>
          <w:p>
            <w:pPr>
              <w:spacing w:after="0" w:line="223" w:lineRule="auto"/>
            </w:pPr>
            <w:r>
              <w:rPr>
                <w:rFonts w:ascii="Times New Roman" w:hAnsi="Times New Roman"/>
                <w:sz w:val="13"/>
              </w:rPr>
              <w:t>word on heart/hand/home</w:t>
            </w:r>
          </w:p>
        </w:tc>
        <w:tc>
          <w:tcPr>
            <w:tcW w:type="dxa" w:w="3561"/>
            <w:vAlign w:val="top"/>
          </w:tcPr>
          <w:p>
            <w:pPr>
              <w:spacing w:after="0" w:line="223" w:lineRule="auto"/>
            </w:pPr>
            <w:r>
              <w:rPr>
                <w:rFonts w:ascii="Times New Roman" w:hAnsi="Times New Roman"/>
                <w:sz w:val="13"/>
              </w:rPr>
              <w:t>Repetition of Deut. 6 educational pattern.</w:t>
            </w:r>
          </w:p>
        </w:tc>
      </w:tr>
      <w:tr>
        <w:tc>
          <w:tcPr>
            <w:tcW w:type="dxa" w:w="3561"/>
            <w:vAlign w:val="top"/>
          </w:tcPr>
          <w:p>
            <w:pPr>
              <w:spacing w:after="0" w:line="223" w:lineRule="auto"/>
            </w:pPr>
            <w:r>
              <w:rPr>
                <w:rFonts w:ascii="Times New Roman" w:hAnsi="Times New Roman"/>
                <w:sz w:val="13"/>
              </w:rPr>
              <w:t>Deut. 11:24</w:t>
            </w:r>
          </w:p>
        </w:tc>
        <w:tc>
          <w:tcPr>
            <w:tcW w:type="dxa" w:w="3561"/>
            <w:vAlign w:val="top"/>
          </w:tcPr>
          <w:p>
            <w:pPr>
              <w:spacing w:after="0" w:line="223" w:lineRule="auto"/>
            </w:pPr>
            <w:r>
              <w:rPr>
                <w:rFonts w:ascii="Times New Roman" w:hAnsi="Times New Roman"/>
                <w:sz w:val="13"/>
              </w:rPr>
              <w:t>Euphrates / western sea</w:t>
            </w:r>
          </w:p>
        </w:tc>
        <w:tc>
          <w:tcPr>
            <w:tcW w:type="dxa" w:w="3561"/>
            <w:vAlign w:val="top"/>
          </w:tcPr>
          <w:p>
            <w:pPr>
              <w:spacing w:after="0" w:line="223" w:lineRule="auto"/>
            </w:pPr>
            <w:r>
              <w:rPr>
                <w:rFonts w:ascii="Times New Roman" w:hAnsi="Times New Roman"/>
                <w:sz w:val="13"/>
              </w:rPr>
              <w:t>Broad covenant territorial formula.</w:t>
            </w:r>
          </w:p>
        </w:tc>
      </w:tr>
      <w:tr>
        <w:tc>
          <w:tcPr>
            <w:tcW w:type="dxa" w:w="3561"/>
            <w:vAlign w:val="top"/>
          </w:tcPr>
          <w:p>
            <w:pPr>
              <w:spacing w:after="0" w:line="223" w:lineRule="auto"/>
            </w:pPr>
            <w:r>
              <w:rPr>
                <w:rFonts w:ascii="Times New Roman" w:hAnsi="Times New Roman"/>
                <w:sz w:val="13"/>
              </w:rPr>
              <w:t>Deut. 11:26</w:t>
            </w:r>
          </w:p>
        </w:tc>
        <w:tc>
          <w:tcPr>
            <w:tcW w:type="dxa" w:w="3561"/>
            <w:vAlign w:val="top"/>
          </w:tcPr>
          <w:p>
            <w:pPr>
              <w:spacing w:after="0" w:line="223" w:lineRule="auto"/>
            </w:pPr>
            <w:r>
              <w:rPr>
                <w:rFonts w:ascii="Times New Roman" w:hAnsi="Times New Roman"/>
                <w:sz w:val="13"/>
              </w:rPr>
              <w:t>blessing and curse</w:t>
            </w:r>
          </w:p>
        </w:tc>
        <w:tc>
          <w:tcPr>
            <w:tcW w:type="dxa" w:w="3561"/>
            <w:vAlign w:val="top"/>
          </w:tcPr>
          <w:p>
            <w:pPr>
              <w:spacing w:after="0" w:line="223" w:lineRule="auto"/>
            </w:pPr>
            <w:r>
              <w:rPr>
                <w:rFonts w:ascii="Times New Roman" w:hAnsi="Times New Roman"/>
                <w:sz w:val="13"/>
              </w:rPr>
              <w:t>Explicit alternatives.</w:t>
            </w:r>
          </w:p>
        </w:tc>
      </w:tr>
      <w:tr>
        <w:tc>
          <w:tcPr>
            <w:tcW w:type="dxa" w:w="3561"/>
            <w:vAlign w:val="top"/>
          </w:tcPr>
          <w:p>
            <w:pPr>
              <w:spacing w:after="0" w:line="223" w:lineRule="auto"/>
            </w:pPr>
            <w:r>
              <w:rPr>
                <w:rFonts w:ascii="Times New Roman" w:hAnsi="Times New Roman"/>
                <w:sz w:val="13"/>
              </w:rPr>
              <w:t>Deut. 11:29</w:t>
            </w:r>
          </w:p>
        </w:tc>
        <w:tc>
          <w:tcPr>
            <w:tcW w:type="dxa" w:w="3561"/>
            <w:vAlign w:val="top"/>
          </w:tcPr>
          <w:p>
            <w:pPr>
              <w:spacing w:after="0" w:line="223" w:lineRule="auto"/>
            </w:pPr>
            <w:r>
              <w:rPr>
                <w:rFonts w:ascii="Times New Roman" w:hAnsi="Times New Roman"/>
                <w:sz w:val="13"/>
              </w:rPr>
              <w:t>Gerizim / Ebal</w:t>
            </w:r>
          </w:p>
        </w:tc>
        <w:tc>
          <w:tcPr>
            <w:tcW w:type="dxa" w:w="3561"/>
            <w:vAlign w:val="top"/>
          </w:tcPr>
          <w:p>
            <w:pPr>
              <w:spacing w:after="0" w:line="223" w:lineRule="auto"/>
            </w:pPr>
            <w:r>
              <w:rPr>
                <w:rFonts w:ascii="Times New Roman" w:hAnsi="Times New Roman"/>
                <w:sz w:val="13"/>
              </w:rPr>
              <w:t>Post-entry covenant ceremony; compare Josh. 8.</w:t>
            </w:r>
          </w:p>
        </w:tc>
      </w:tr>
    </w:tbl>
    <w:p>
      <w:pPr>
        <w:pStyle w:val="Heading1"/>
      </w:pPr>
      <w:r>
        <w:t>RESIDUAL UNCERTAINTIES</w:t>
      </w:r>
    </w:p>
    <w:p>
      <w:pPr/>
      <w:r>
        <w:rPr>
          <w:i w:val="0"/>
        </w:rPr>
        <w:t>The exact irrigation practice intended by “with thy foot,” the precise seasonal timing of ancient rainfall, and the detailed territorial realisation of verse 24 are not fully fixed by the chapter. Mansfield’s machinery identification and several geographical/typological expansions are therefore qualified.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