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12</w:t>
      </w:r>
    </w:p>
    <w:p>
      <w:pPr>
        <w:pStyle w:val="Subtitle"/>
      </w:pPr>
      <w:r>
        <w:t>ACCEPTABLE WORSHIP IS APPOINTED BY YAHWEH • DESTROY CANAANITE SHRINES • THE PLACE HE SHALL CHOOSE • REJOICE BEFORE YAHWEH • ORDINARY MEAT AND SACRED OFFERINGS DISTINGUISHED • BLOOD IS THE LIFE • DO NOT COPY ABOMINABLE WORSHIP</w:t>
      </w:r>
    </w:p>
    <w:p>
      <w:pPr/>
      <w:r>
        <w:rPr>
          <w:i/>
        </w:rPr>
        <w:t>H. P. Mansfield Bible notes — checked and arranged in verse-by-verse Expositor style</w:t>
      </w:r>
    </w:p>
    <w:p>
      <w:pPr/>
      <w:r>
        <w:rPr>
          <w:i w:val="0"/>
        </w:rPr>
        <w:t>Source: HPB 04-Deu01-Jud04.PDF mainly pp. 22–23; cross-checked with Mansfield’s Deuteronomy Expositor Chapter 12.</w:t>
      </w:r>
    </w:p>
    <w:p>
      <w:pPr>
        <w:pStyle w:val="Heading1"/>
      </w:pPr>
      <w:r>
        <w:t>CHAPTER OVERVIEW</w:t>
      </w:r>
    </w:p>
    <w:p>
      <w:pPr/>
      <w:r>
        <w:rPr>
          <w:i w:val="0"/>
        </w:rPr>
        <w:t>Deuteronomy 12 begins the detailed application of covenant life in the land. Canaanite cult centres are to be removed, while Israel’s sacrificial worship is drawn to the place Yahweh chooses for His Name.</w:t>
      </w:r>
    </w:p>
    <w:p>
      <w:pPr/>
      <w:r>
        <w:rPr>
          <w:i w:val="0"/>
        </w:rPr>
        <w:t>The chapter also distinguishes sacred slaughter from ordinary meat. Centralised sacrificial worship does not make every household meal a sanctuary rite, but the prohibition on consuming blood remains because blood represents life.</w:t>
      </w:r>
    </w:p>
    <w:p>
      <w:pPr>
        <w:pStyle w:val="Heading1"/>
      </w:pPr>
      <w:r>
        <w:t>DESTROY CANAANITE CULT SITES — DEUTERONOMY 12:1–3</w:t>
      </w:r>
    </w:p>
    <w:p>
      <w:pPr>
        <w:pStyle w:val="Heading2"/>
      </w:pPr>
      <w:r>
        <w:t>Deuteronomy 12:1 — laws for settled life in the land</w:t>
      </w:r>
    </w:p>
    <w:p>
      <w:pPr/>
      <w:r>
        <w:rPr>
          <w:i w:val="0"/>
        </w:rPr>
        <w:t>These statutes and judgments are to be observed in the land throughout Israel’s tenure.</w:t>
      </w:r>
    </w:p>
    <w:p>
      <w:pPr>
        <w:pStyle w:val="Heading2"/>
      </w:pPr>
      <w:r>
        <w:t>Deuteronomy 12:2 — high places and green trees</w:t>
      </w:r>
    </w:p>
    <w:p>
      <w:pPr/>
      <w:r>
        <w:rPr>
          <w:i w:val="0"/>
        </w:rPr>
        <w:t>Israel must destroy the places where the dispossessed nations served their gods—on mountains, hills and under flourishing trees.</w:t>
      </w:r>
    </w:p>
    <w:p>
      <w:pPr/>
      <w:r>
        <w:rPr>
          <w:i w:val="0"/>
        </w:rPr>
        <w:t>The command belongs to Israel’s specific theocratic occupation of Yahweh’s land. It is not a standing mandate for modern believers to destroy other communities’ religious buildings.</w:t>
      </w:r>
    </w:p>
    <w:p>
      <w:pPr>
        <w:pStyle w:val="Heading2"/>
      </w:pPr>
      <w:r>
        <w:t>Deuteronomy 12:3 — altars, pillars, Asherim and names</w:t>
      </w:r>
    </w:p>
    <w:p>
      <w:pPr/>
      <w:r>
        <w:rPr>
          <w:i w:val="0"/>
        </w:rPr>
        <w:t>Altars are broken, sacred pillars smashed, `asherim` burned, carved images cut down and the names of the gods removed.</w:t>
      </w:r>
    </w:p>
    <w:p>
      <w:pPr/>
      <w:r>
        <w:rPr>
          <w:i w:val="0"/>
        </w:rPr>
        <w:t>KJV “groves” again refers to Asherah cult objects/poles rather than ordinary wooded groves. Mansfield’s detailed sexual-symbol reconstruction goes beyond what this verse itself specifies, though Canaanite fertility religion could certainly involve sexualised cult practices.</w:t>
      </w:r>
    </w:p>
    <w:p>
      <w:pPr>
        <w:pStyle w:val="Heading1"/>
      </w:pPr>
      <w:r>
        <w:t>THE PLACE YAHWEH SHALL CHOOSE — DEUTERONOMY 12:4–14</w:t>
      </w:r>
    </w:p>
    <w:p>
      <w:pPr>
        <w:pStyle w:val="Heading2"/>
      </w:pPr>
      <w:r>
        <w:t>Deuteronomy 12:4–5 — do not worship Yahweh in the nations’ way</w:t>
      </w:r>
    </w:p>
    <w:p>
      <w:pPr/>
      <w:r>
        <w:rPr>
          <w:i w:val="0"/>
        </w:rPr>
        <w:t>Israel must seek the place Yahweh chooses from among the tribes to put His Name and cause it to dwell.</w:t>
      </w:r>
    </w:p>
    <w:p>
      <w:pPr/>
      <w:r>
        <w:rPr>
          <w:i w:val="0"/>
        </w:rPr>
        <w:t>The chapter does not name Jerusalem. In Israel’s later history the central sanctuary is first associated with places such as Shiloh and ultimately Jerusalem. The principle is Divine choice, not human invention.</w:t>
      </w:r>
    </w:p>
    <w:p>
      <w:pPr>
        <w:pStyle w:val="Heading2"/>
      </w:pPr>
      <w:r>
        <w:t>Deuteronomy 12:6–7 — offerings and household rejoicing</w:t>
      </w:r>
    </w:p>
    <w:p>
      <w:pPr/>
      <w:r>
        <w:rPr>
          <w:i w:val="0"/>
        </w:rPr>
        <w:t>Burnt offerings, sacrifices, tithes, contributions/heave offerings, vows, freewill offerings and firstlings are brought to the chosen place, where households eat and rejoice before Yahweh.</w:t>
      </w:r>
    </w:p>
    <w:p>
      <w:pPr>
        <w:pStyle w:val="Heading2"/>
      </w:pPr>
      <w:r>
        <w:t>Deuteronomy 12:8 — “whatsoever is right in his own eyes”</w:t>
      </w:r>
    </w:p>
    <w:p>
      <w:pPr/>
      <w:r>
        <w:rPr>
          <w:i w:val="0"/>
        </w:rPr>
        <w:t>Israel is told not to continue doing “all the things that we do here this day, every man whatsoever is right in his own eyes.”</w:t>
      </w:r>
    </w:p>
    <w:p>
      <w:pPr/>
      <w:r>
        <w:rPr>
          <w:i w:val="0"/>
        </w:rPr>
        <w:t>In context the contrast especially concerns the decentralised conditions before rest and the establishment of the chosen sanctuary. The phrase supports the wider principle that worship is not self-designed, but it should not be exaggerated into a claim that all wilderness worship had been lawless or individually invented.</w:t>
      </w:r>
    </w:p>
    <w:p>
      <w:pPr>
        <w:pStyle w:val="Heading2"/>
      </w:pPr>
      <w:r>
        <w:t>Deuteronomy 12:9–11 — rest changes the administration of worship</w:t>
      </w:r>
    </w:p>
    <w:p>
      <w:pPr/>
      <w:r>
        <w:rPr>
          <w:i w:val="0"/>
        </w:rPr>
        <w:t>Once Yahweh gives rest and security, the selected place becomes the regular centre to which sacred dues and sacrifices are brought.</w:t>
      </w:r>
    </w:p>
    <w:p>
      <w:pPr>
        <w:pStyle w:val="Heading2"/>
      </w:pPr>
      <w:r>
        <w:t>Deuteronomy 12:12 — include Levite and household</w:t>
      </w:r>
    </w:p>
    <w:p>
      <w:pPr/>
      <w:r>
        <w:rPr>
          <w:i w:val="0"/>
        </w:rPr>
        <w:t>Sons, daughters, servants and Levites share in rejoicing before Yahweh. The Levite must not be marginalised because he has no ordinary territorial portion.</w:t>
      </w:r>
    </w:p>
    <w:p>
      <w:pPr>
        <w:pStyle w:val="Heading2"/>
      </w:pPr>
      <w:r>
        <w:t>Deuteronomy 12:13–14 — not every place</w:t>
      </w:r>
    </w:p>
    <w:p>
      <w:pPr/>
      <w:r>
        <w:rPr>
          <w:i w:val="0"/>
        </w:rPr>
        <w:t>Burnt offerings may not simply be offered wherever an Israelite sees fit; they are to be offered at the place Yahweh chooses.</w:t>
      </w:r>
    </w:p>
    <w:p>
      <w:pPr>
        <w:pStyle w:val="Heading1"/>
      </w:pPr>
      <w:r>
        <w:t>ORDINARY SLAUGHTER IS NOT SACRIFICE — DEUTERONOMY 12:15–16</w:t>
      </w:r>
    </w:p>
    <w:p>
      <w:pPr>
        <w:pStyle w:val="Heading2"/>
      </w:pPr>
      <w:r>
        <w:t>Deuteronomy 12:15 — meat throughout the gates</w:t>
      </w:r>
    </w:p>
    <w:p>
      <w:pPr/>
      <w:r>
        <w:rPr>
          <w:i w:val="0"/>
        </w:rPr>
        <w:t>Israel may slaughter and eat meat locally according to Yahweh’s blessing. Both ceremonially clean and unclean persons may eat it, as they may eat gazelle/roebuck and deer/hart.</w:t>
      </w:r>
    </w:p>
    <w:p>
      <w:pPr/>
      <w:r>
        <w:rPr>
          <w:i w:val="0"/>
        </w:rPr>
        <w:t>This marks ordinary food slaughter rather than sanctuary sacrifice; sacrificial holiness restrictions do not apply to an ordinary meal in the same way.</w:t>
      </w:r>
    </w:p>
    <w:p>
      <w:pPr>
        <w:pStyle w:val="Heading2"/>
      </w:pPr>
      <w:r>
        <w:t>Deuteronomy 12:16 — do not eat blood</w:t>
      </w:r>
    </w:p>
    <w:p>
      <w:pPr/>
      <w:r>
        <w:rPr>
          <w:i w:val="0"/>
        </w:rPr>
        <w:t>Blood is not to be eaten but poured upon the earth like water.</w:t>
      </w:r>
    </w:p>
    <w:p>
      <w:pPr>
        <w:pStyle w:val="Heading1"/>
      </w:pPr>
      <w:r>
        <w:t>SACRED PORTIONS REMAIN CENTRAL — DEUTERONOMY 12:17–19</w:t>
      </w:r>
    </w:p>
    <w:p>
      <w:pPr>
        <w:pStyle w:val="Heading2"/>
      </w:pPr>
      <w:r>
        <w:t>Deuteronomy 12:17–18 — sacred dues eaten before Yahweh</w:t>
      </w:r>
    </w:p>
    <w:p>
      <w:pPr/>
      <w:r>
        <w:rPr>
          <w:i w:val="0"/>
        </w:rPr>
        <w:t>Grain, wine and oil tithes, firstlings, vows, freewill offerings and heave/contribution offerings are not to be treated as casual local food but eaten as commanded before Yahweh at the chosen place.</w:t>
      </w:r>
    </w:p>
    <w:p>
      <w:pPr>
        <w:pStyle w:val="Heading2"/>
      </w:pPr>
      <w:r>
        <w:t>Deuteronomy 12:19 — do not forsake the Levite</w:t>
      </w:r>
    </w:p>
    <w:p>
      <w:pPr/>
      <w:r>
        <w:rPr>
          <w:i w:val="0"/>
        </w:rPr>
        <w:t>Israel must take heed not to abandon the Levite throughout life in the land.</w:t>
      </w:r>
    </w:p>
    <w:p>
      <w:pPr>
        <w:pStyle w:val="Heading1"/>
      </w:pPr>
      <w:r>
        <w:t>EXPANDED TERRITORY AND THE BLOOD RULE — DEUTERONOMY 12:20–28</w:t>
      </w:r>
    </w:p>
    <w:p>
      <w:pPr>
        <w:pStyle w:val="Heading2"/>
      </w:pPr>
      <w:r>
        <w:t>Deuteronomy 12:20–22 — distance permits local meat</w:t>
      </w:r>
    </w:p>
    <w:p>
      <w:pPr/>
      <w:r>
        <w:rPr>
          <w:i w:val="0"/>
        </w:rPr>
        <w:t>As territory expands and the chosen sanctuary may be distant, ordinary meat can be slaughtered within local gates, as clean game is eaten.</w:t>
      </w:r>
    </w:p>
    <w:p>
      <w:pPr>
        <w:pStyle w:val="Heading2"/>
      </w:pPr>
      <w:r>
        <w:t>Deuteronomy 12:23 — “the blood is the life”</w:t>
      </w:r>
    </w:p>
    <w:p>
      <w:pPr/>
      <w:r>
        <w:rPr>
          <w:i w:val="0"/>
        </w:rPr>
        <w:t>Israel must be firm not to eat blood because `haddam hu hannephesh`—the blood is the life (`nephesh`).</w:t>
      </w:r>
    </w:p>
    <w:p>
      <w:pPr/>
      <w:r>
        <w:rPr>
          <w:i w:val="0"/>
        </w:rPr>
        <w:t>`Nephesh` here plainly means life. The verse is powerful evidence against treating `nephesh` as a term that intrinsically means an immortal, immaterial soul.</w:t>
      </w:r>
    </w:p>
    <w:p>
      <w:pPr>
        <w:pStyle w:val="Heading2"/>
      </w:pPr>
      <w:r>
        <w:t>Deuteronomy 12:24–25 — pour it out</w:t>
      </w:r>
    </w:p>
    <w:p>
      <w:pPr/>
      <w:r>
        <w:rPr>
          <w:i w:val="0"/>
        </w:rPr>
        <w:t>Blood is poured on the earth like water; obedience is linked with well-being.</w:t>
      </w:r>
    </w:p>
    <w:p>
      <w:pPr>
        <w:pStyle w:val="Heading2"/>
      </w:pPr>
      <w:r>
        <w:t>Deuteronomy 12:26–28 — holy things still go to the altar</w:t>
      </w:r>
    </w:p>
    <w:p>
      <w:pPr/>
      <w:r>
        <w:rPr>
          <w:i w:val="0"/>
        </w:rPr>
        <w:t>Consecrated things and vows are brought to the place Yahweh chooses. Burnt-offering blood and flesh belong to the altar rite; other sacrifices are eaten according to the law.</w:t>
      </w:r>
    </w:p>
    <w:p>
      <w:pPr/>
      <w:r>
        <w:rPr>
          <w:i w:val="0"/>
        </w:rPr>
        <w:t>Ordinary meat freedom never dissolves sacrificial distinctions.</w:t>
      </w:r>
    </w:p>
    <w:p>
      <w:pPr>
        <w:pStyle w:val="Heading1"/>
      </w:pPr>
      <w:r>
        <w:t>DO NOT LEARN IDOLATRY BY IMITATION — DEUTERONOMY 12:29–32</w:t>
      </w:r>
    </w:p>
    <w:p>
      <w:pPr>
        <w:pStyle w:val="Heading2"/>
      </w:pPr>
      <w:r>
        <w:t>Deuteronomy 12:29–30 — beware curiosity that becomes imitation</w:t>
      </w:r>
    </w:p>
    <w:p>
      <w:pPr/>
      <w:r>
        <w:rPr>
          <w:i w:val="0"/>
        </w:rPr>
        <w:t>After the nations are cut off, Israel must not be ensnared by asking how those nations served their gods so as to do likewise.</w:t>
      </w:r>
    </w:p>
    <w:p>
      <w:pPr/>
      <w:r>
        <w:rPr>
          <w:i w:val="0"/>
        </w:rPr>
        <w:t>The warning is against adopting their worship, not against every historical enquiry into another religion.</w:t>
      </w:r>
    </w:p>
    <w:p>
      <w:pPr>
        <w:pStyle w:val="Heading2"/>
      </w:pPr>
      <w:r>
        <w:t>Deuteronomy 12:31 — child sacrifice</w:t>
      </w:r>
    </w:p>
    <w:p>
      <w:pPr/>
      <w:r>
        <w:rPr>
          <w:i w:val="0"/>
        </w:rPr>
        <w:t>Israel must not worship Yahweh with Canaanite methods; the nations even burned sons and daughters in fire to their gods.</w:t>
      </w:r>
    </w:p>
    <w:p>
      <w:pPr/>
      <w:r>
        <w:rPr>
          <w:i w:val="0"/>
        </w:rPr>
        <w:t>The chapter therefore rejects the principle that any sincerely intended ritual becomes acceptable merely because it is religious.</w:t>
      </w:r>
    </w:p>
    <w:p>
      <w:pPr>
        <w:pStyle w:val="Heading2"/>
      </w:pPr>
      <w:r>
        <w:t>Deuteronomy 12:32 — add nothing, diminish nothing</w:t>
      </w:r>
    </w:p>
    <w:p>
      <w:pPr/>
      <w:r>
        <w:rPr>
          <w:i w:val="0"/>
        </w:rPr>
        <w:t>Israel must carefully do what Yahweh commands without adding or subtracting.</w:t>
      </w:r>
    </w:p>
    <w:p>
      <w:pPr/>
      <w:r>
        <w:rPr>
          <w:i w:val="0"/>
        </w:rPr>
        <w:t>In the Hebrew/Masoretic chapter division this sentence is commonly numbered 13:1, whereas English/KJV tradition places it at 12:32. The verse numbering difference is editorial, not textual contradiction.</w:t>
      </w:r>
    </w:p>
    <w:p>
      <w:pPr>
        <w:pStyle w:val="Heading1"/>
      </w:pPr>
      <w:r>
        <w:t>PRINCIPAL THEMES</w:t>
      </w:r>
    </w:p>
    <w:p>
      <w:pPr>
        <w:ind w:left="259" w:hanging="202"/>
      </w:pPr>
      <w:r>
        <w:rPr>
          <w:b/>
        </w:rPr>
        <w:t xml:space="preserve">• </w:t>
      </w:r>
      <w:r>
        <w:t>The Canaanite-shrine destruction command is historically specific and must not be universalised.</w:t>
      </w:r>
    </w:p>
    <w:p>
      <w:pPr>
        <w:ind w:left="259" w:hanging="202"/>
      </w:pPr>
      <w:r>
        <w:rPr>
          <w:b/>
        </w:rPr>
        <w:t xml:space="preserve">• </w:t>
      </w:r>
      <w:r>
        <w:t>`Asherim` are Asherah cult objects/poles; “groves” is misleading.</w:t>
      </w:r>
    </w:p>
    <w:p>
      <w:pPr>
        <w:ind w:left="259" w:hanging="202"/>
      </w:pPr>
      <w:r>
        <w:rPr>
          <w:b/>
        </w:rPr>
        <w:t xml:space="preserve">• </w:t>
      </w:r>
      <w:r>
        <w:t>The chosen-place principle is Divine selection; chapter 12 itself does not name Jerusalem.</w:t>
      </w:r>
    </w:p>
    <w:p>
      <w:pPr>
        <w:ind w:left="259" w:hanging="202"/>
      </w:pPr>
      <w:r>
        <w:rPr>
          <w:b/>
        </w:rPr>
        <w:t xml:space="preserve">• </w:t>
      </w:r>
      <w:r>
        <w:t>Verse 8 primarily contrasts pre-rest decentralised practice with the ordered worship of the land; it should not be made to accuse every wilderness household of autonomous religion.</w:t>
      </w:r>
    </w:p>
    <w:p>
      <w:pPr>
        <w:ind w:left="259" w:hanging="202"/>
      </w:pPr>
      <w:r>
        <w:rPr>
          <w:b/>
        </w:rPr>
        <w:t xml:space="preserve">• </w:t>
      </w:r>
      <w:r>
        <w:t>Ordinary domestic meat is distinguished from sacred sacrifice.</w:t>
      </w:r>
    </w:p>
    <w:p>
      <w:pPr>
        <w:ind w:left="259" w:hanging="202"/>
      </w:pPr>
      <w:r>
        <w:rPr>
          <w:b/>
        </w:rPr>
        <w:t xml:space="preserve">• </w:t>
      </w:r>
      <w:r>
        <w:t>Clean and unclean persons may share ordinary meat.</w:t>
      </w:r>
    </w:p>
    <w:p>
      <w:pPr>
        <w:ind w:left="259" w:hanging="202"/>
      </w:pPr>
      <w:r>
        <w:rPr>
          <w:b/>
        </w:rPr>
        <w:t xml:space="preserve">• </w:t>
      </w:r>
      <w:r>
        <w:t>`Nephesh` in “the blood is the life” means life, not an immortal soul.</w:t>
      </w:r>
    </w:p>
    <w:p>
      <w:pPr>
        <w:ind w:left="259" w:hanging="202"/>
      </w:pPr>
      <w:r>
        <w:rPr>
          <w:b/>
        </w:rPr>
        <w:t xml:space="preserve">• </w:t>
      </w:r>
      <w:r>
        <w:t>Distance from the sanctuary permits local slaughter but not local invention of sacrifice.</w:t>
      </w:r>
    </w:p>
    <w:p>
      <w:pPr>
        <w:ind w:left="259" w:hanging="202"/>
      </w:pPr>
      <w:r>
        <w:rPr>
          <w:b/>
        </w:rPr>
        <w:t xml:space="preserve">• </w:t>
      </w:r>
      <w:r>
        <w:t>Curiosity is condemned when it aims at adopting idolatrous worship, not as a ban on historical knowledge.</w:t>
      </w:r>
    </w:p>
    <w:p>
      <w:pPr>
        <w:ind w:left="259" w:hanging="202"/>
      </w:pPr>
      <w:r>
        <w:rPr>
          <w:b/>
        </w:rPr>
        <w:t xml:space="preserve">• </w:t>
      </w:r>
      <w:r>
        <w:t>Child sacrifice is cited as an extreme example of worship Yahweh hates.</w:t>
      </w:r>
    </w:p>
    <w:p>
      <w:pPr>
        <w:ind w:left="259" w:hanging="202"/>
      </w:pPr>
      <w:r>
        <w:rPr>
          <w:b/>
        </w:rPr>
        <w:t xml:space="preserve">• </w:t>
      </w:r>
      <w:r>
        <w:t>KJV 12:32 corresponds to Hebrew/Masoretic 13:1 in a different chapter-numbering tradition.</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3" w:lineRule="auto"/>
            </w:pPr>
            <w:r>
              <w:rPr>
                <w:rFonts w:ascii="Times New Roman" w:hAnsi="Times New Roman"/>
                <w:sz w:val="13"/>
              </w:rPr>
              <w:t>Deut. 12:2</w:t>
            </w:r>
          </w:p>
        </w:tc>
        <w:tc>
          <w:tcPr>
            <w:tcW w:type="dxa" w:w="3561"/>
            <w:vAlign w:val="top"/>
          </w:tcPr>
          <w:p>
            <w:pPr>
              <w:spacing w:after="0" w:line="223" w:lineRule="auto"/>
            </w:pPr>
            <w:r>
              <w:rPr>
                <w:rFonts w:ascii="Times New Roman" w:hAnsi="Times New Roman"/>
                <w:sz w:val="13"/>
              </w:rPr>
              <w:t>Canaanite cult sites</w:t>
            </w:r>
          </w:p>
        </w:tc>
        <w:tc>
          <w:tcPr>
            <w:tcW w:type="dxa" w:w="3561"/>
            <w:vAlign w:val="top"/>
          </w:tcPr>
          <w:p>
            <w:pPr>
              <w:spacing w:after="0" w:line="223" w:lineRule="auto"/>
            </w:pPr>
            <w:r>
              <w:rPr>
                <w:rFonts w:ascii="Times New Roman" w:hAnsi="Times New Roman"/>
                <w:sz w:val="13"/>
              </w:rPr>
              <w:t>Specific land-conquest mandate.</w:t>
            </w:r>
          </w:p>
        </w:tc>
      </w:tr>
      <w:tr>
        <w:tc>
          <w:tcPr>
            <w:tcW w:type="dxa" w:w="3561"/>
            <w:vAlign w:val="top"/>
          </w:tcPr>
          <w:p>
            <w:pPr>
              <w:spacing w:after="0" w:line="223" w:lineRule="auto"/>
            </w:pPr>
            <w:r>
              <w:rPr>
                <w:rFonts w:ascii="Times New Roman" w:hAnsi="Times New Roman"/>
                <w:sz w:val="13"/>
              </w:rPr>
              <w:t>Deut. 12:3</w:t>
            </w:r>
          </w:p>
        </w:tc>
        <w:tc>
          <w:tcPr>
            <w:tcW w:type="dxa" w:w="3561"/>
            <w:vAlign w:val="top"/>
          </w:tcPr>
          <w:p>
            <w:pPr>
              <w:spacing w:after="0" w:line="223" w:lineRule="auto"/>
            </w:pPr>
            <w:r>
              <w:rPr>
                <w:rFonts w:ascii="Times New Roman" w:hAnsi="Times New Roman"/>
                <w:sz w:val="13"/>
              </w:rPr>
              <w:t>asherim</w:t>
            </w:r>
          </w:p>
        </w:tc>
        <w:tc>
          <w:tcPr>
            <w:tcW w:type="dxa" w:w="3561"/>
            <w:vAlign w:val="top"/>
          </w:tcPr>
          <w:p>
            <w:pPr>
              <w:spacing w:after="0" w:line="223" w:lineRule="auto"/>
            </w:pPr>
            <w:r>
              <w:rPr>
                <w:rFonts w:ascii="Times New Roman" w:hAnsi="Times New Roman"/>
                <w:sz w:val="13"/>
              </w:rPr>
              <w:t>Asherah cult poles/objects, not ordinary groves.</w:t>
            </w:r>
          </w:p>
        </w:tc>
      </w:tr>
      <w:tr>
        <w:tc>
          <w:tcPr>
            <w:tcW w:type="dxa" w:w="3561"/>
            <w:vAlign w:val="top"/>
          </w:tcPr>
          <w:p>
            <w:pPr>
              <w:spacing w:after="0" w:line="223" w:lineRule="auto"/>
            </w:pPr>
            <w:r>
              <w:rPr>
                <w:rFonts w:ascii="Times New Roman" w:hAnsi="Times New Roman"/>
                <w:sz w:val="13"/>
              </w:rPr>
              <w:t>Deut. 12:5</w:t>
            </w:r>
          </w:p>
        </w:tc>
        <w:tc>
          <w:tcPr>
            <w:tcW w:type="dxa" w:w="3561"/>
            <w:vAlign w:val="top"/>
          </w:tcPr>
          <w:p>
            <w:pPr>
              <w:spacing w:after="0" w:line="223" w:lineRule="auto"/>
            </w:pPr>
            <w:r>
              <w:rPr>
                <w:rFonts w:ascii="Times New Roman" w:hAnsi="Times New Roman"/>
                <w:sz w:val="13"/>
              </w:rPr>
              <w:t>place Yahweh chooses</w:t>
            </w:r>
          </w:p>
        </w:tc>
        <w:tc>
          <w:tcPr>
            <w:tcW w:type="dxa" w:w="3561"/>
            <w:vAlign w:val="top"/>
          </w:tcPr>
          <w:p>
            <w:pPr>
              <w:spacing w:after="0" w:line="223" w:lineRule="auto"/>
            </w:pPr>
            <w:r>
              <w:rPr>
                <w:rFonts w:ascii="Times New Roman" w:hAnsi="Times New Roman"/>
                <w:sz w:val="13"/>
              </w:rPr>
              <w:t>Not named as Jerusalem in this chapter.</w:t>
            </w:r>
          </w:p>
        </w:tc>
      </w:tr>
      <w:tr>
        <w:tc>
          <w:tcPr>
            <w:tcW w:type="dxa" w:w="3561"/>
            <w:vAlign w:val="top"/>
          </w:tcPr>
          <w:p>
            <w:pPr>
              <w:spacing w:after="0" w:line="223" w:lineRule="auto"/>
            </w:pPr>
            <w:r>
              <w:rPr>
                <w:rFonts w:ascii="Times New Roman" w:hAnsi="Times New Roman"/>
                <w:sz w:val="13"/>
              </w:rPr>
              <w:t>Shiloh/Jerusalem</w:t>
            </w:r>
          </w:p>
        </w:tc>
        <w:tc>
          <w:tcPr>
            <w:tcW w:type="dxa" w:w="3561"/>
            <w:vAlign w:val="top"/>
          </w:tcPr>
          <w:p>
            <w:pPr>
              <w:spacing w:after="0" w:line="223" w:lineRule="auto"/>
            </w:pPr>
            <w:r>
              <w:rPr>
                <w:rFonts w:ascii="Times New Roman" w:hAnsi="Times New Roman"/>
                <w:sz w:val="13"/>
              </w:rPr>
              <w:t>later sanctuary history</w:t>
            </w:r>
          </w:p>
        </w:tc>
        <w:tc>
          <w:tcPr>
            <w:tcW w:type="dxa" w:w="3561"/>
            <w:vAlign w:val="top"/>
          </w:tcPr>
          <w:p>
            <w:pPr>
              <w:spacing w:after="0" w:line="223" w:lineRule="auto"/>
            </w:pPr>
            <w:r>
              <w:rPr>
                <w:rFonts w:ascii="Times New Roman" w:hAnsi="Times New Roman"/>
                <w:sz w:val="13"/>
              </w:rPr>
              <w:t>Chosen-place principle unfolds historically.</w:t>
            </w:r>
          </w:p>
        </w:tc>
      </w:tr>
      <w:tr>
        <w:tc>
          <w:tcPr>
            <w:tcW w:type="dxa" w:w="3561"/>
            <w:vAlign w:val="top"/>
          </w:tcPr>
          <w:p>
            <w:pPr>
              <w:spacing w:after="0" w:line="223" w:lineRule="auto"/>
            </w:pPr>
            <w:r>
              <w:rPr>
                <w:rFonts w:ascii="Times New Roman" w:hAnsi="Times New Roman"/>
                <w:sz w:val="13"/>
              </w:rPr>
              <w:t>Deut. 12:8</w:t>
            </w:r>
          </w:p>
        </w:tc>
        <w:tc>
          <w:tcPr>
            <w:tcW w:type="dxa" w:w="3561"/>
            <w:vAlign w:val="top"/>
          </w:tcPr>
          <w:p>
            <w:pPr>
              <w:spacing w:after="0" w:line="223" w:lineRule="auto"/>
            </w:pPr>
            <w:r>
              <w:rPr>
                <w:rFonts w:ascii="Times New Roman" w:hAnsi="Times New Roman"/>
                <w:sz w:val="13"/>
              </w:rPr>
              <w:t>right in own eyes</w:t>
            </w:r>
          </w:p>
        </w:tc>
        <w:tc>
          <w:tcPr>
            <w:tcW w:type="dxa" w:w="3561"/>
            <w:vAlign w:val="top"/>
          </w:tcPr>
          <w:p>
            <w:pPr>
              <w:spacing w:after="0" w:line="223" w:lineRule="auto"/>
            </w:pPr>
            <w:r>
              <w:rPr>
                <w:rFonts w:ascii="Times New Roman" w:hAnsi="Times New Roman"/>
                <w:sz w:val="13"/>
              </w:rPr>
              <w:t>Context includes pre-rest/decentralised worship; avoid overstatement.</w:t>
            </w:r>
          </w:p>
        </w:tc>
      </w:tr>
      <w:tr>
        <w:tc>
          <w:tcPr>
            <w:tcW w:type="dxa" w:w="3561"/>
            <w:vAlign w:val="top"/>
          </w:tcPr>
          <w:p>
            <w:pPr>
              <w:spacing w:after="0" w:line="223" w:lineRule="auto"/>
            </w:pPr>
            <w:r>
              <w:rPr>
                <w:rFonts w:ascii="Times New Roman" w:hAnsi="Times New Roman"/>
                <w:sz w:val="13"/>
              </w:rPr>
              <w:t>Deut. 12:10</w:t>
            </w:r>
          </w:p>
        </w:tc>
        <w:tc>
          <w:tcPr>
            <w:tcW w:type="dxa" w:w="3561"/>
            <w:vAlign w:val="top"/>
          </w:tcPr>
          <w:p>
            <w:pPr>
              <w:spacing w:after="0" w:line="223" w:lineRule="auto"/>
            </w:pPr>
            <w:r>
              <w:rPr>
                <w:rFonts w:ascii="Times New Roman" w:hAnsi="Times New Roman"/>
                <w:sz w:val="13"/>
              </w:rPr>
              <w:t>rest and security</w:t>
            </w:r>
          </w:p>
        </w:tc>
        <w:tc>
          <w:tcPr>
            <w:tcW w:type="dxa" w:w="3561"/>
            <w:vAlign w:val="top"/>
          </w:tcPr>
          <w:p>
            <w:pPr>
              <w:spacing w:after="0" w:line="223" w:lineRule="auto"/>
            </w:pPr>
            <w:r>
              <w:rPr>
                <w:rFonts w:ascii="Times New Roman" w:hAnsi="Times New Roman"/>
                <w:sz w:val="13"/>
              </w:rPr>
              <w:t>Triggers settled central-worship arrangement.</w:t>
            </w:r>
          </w:p>
        </w:tc>
      </w:tr>
      <w:tr>
        <w:tc>
          <w:tcPr>
            <w:tcW w:type="dxa" w:w="3561"/>
            <w:vAlign w:val="top"/>
          </w:tcPr>
          <w:p>
            <w:pPr>
              <w:spacing w:after="0" w:line="223" w:lineRule="auto"/>
            </w:pPr>
            <w:r>
              <w:rPr>
                <w:rFonts w:ascii="Times New Roman" w:hAnsi="Times New Roman"/>
                <w:sz w:val="13"/>
              </w:rPr>
              <w:t>Deut. 12:12,18</w:t>
            </w:r>
          </w:p>
        </w:tc>
        <w:tc>
          <w:tcPr>
            <w:tcW w:type="dxa" w:w="3561"/>
            <w:vAlign w:val="top"/>
          </w:tcPr>
          <w:p>
            <w:pPr>
              <w:spacing w:after="0" w:line="223" w:lineRule="auto"/>
            </w:pPr>
            <w:r>
              <w:rPr>
                <w:rFonts w:ascii="Times New Roman" w:hAnsi="Times New Roman"/>
                <w:sz w:val="13"/>
              </w:rPr>
              <w:t>rejoice before Yahweh</w:t>
            </w:r>
          </w:p>
        </w:tc>
        <w:tc>
          <w:tcPr>
            <w:tcW w:type="dxa" w:w="3561"/>
            <w:vAlign w:val="top"/>
          </w:tcPr>
          <w:p>
            <w:pPr>
              <w:spacing w:after="0" w:line="223" w:lineRule="auto"/>
            </w:pPr>
            <w:r>
              <w:rPr>
                <w:rFonts w:ascii="Times New Roman" w:hAnsi="Times New Roman"/>
                <w:sz w:val="13"/>
              </w:rPr>
              <w:t>Household + Levite participation.</w:t>
            </w:r>
          </w:p>
        </w:tc>
      </w:tr>
      <w:tr>
        <w:tc>
          <w:tcPr>
            <w:tcW w:type="dxa" w:w="3561"/>
            <w:vAlign w:val="top"/>
          </w:tcPr>
          <w:p>
            <w:pPr>
              <w:spacing w:after="0" w:line="223" w:lineRule="auto"/>
            </w:pPr>
            <w:r>
              <w:rPr>
                <w:rFonts w:ascii="Times New Roman" w:hAnsi="Times New Roman"/>
                <w:sz w:val="13"/>
              </w:rPr>
              <w:t>Deut. 12:13–14</w:t>
            </w:r>
          </w:p>
        </w:tc>
        <w:tc>
          <w:tcPr>
            <w:tcW w:type="dxa" w:w="3561"/>
            <w:vAlign w:val="top"/>
          </w:tcPr>
          <w:p>
            <w:pPr>
              <w:spacing w:after="0" w:line="223" w:lineRule="auto"/>
            </w:pPr>
            <w:r>
              <w:rPr>
                <w:rFonts w:ascii="Times New Roman" w:hAnsi="Times New Roman"/>
                <w:sz w:val="13"/>
              </w:rPr>
              <w:t>burnt offerings only chosen place</w:t>
            </w:r>
          </w:p>
        </w:tc>
        <w:tc>
          <w:tcPr>
            <w:tcW w:type="dxa" w:w="3561"/>
            <w:vAlign w:val="top"/>
          </w:tcPr>
          <w:p>
            <w:pPr>
              <w:spacing w:after="0" w:line="223" w:lineRule="auto"/>
            </w:pPr>
            <w:r>
              <w:rPr>
                <w:rFonts w:ascii="Times New Roman" w:hAnsi="Times New Roman"/>
                <w:sz w:val="13"/>
              </w:rPr>
              <w:t>No self-selected altars.</w:t>
            </w:r>
          </w:p>
        </w:tc>
      </w:tr>
      <w:tr>
        <w:tc>
          <w:tcPr>
            <w:tcW w:type="dxa" w:w="3561"/>
            <w:vAlign w:val="top"/>
          </w:tcPr>
          <w:p>
            <w:pPr>
              <w:spacing w:after="0" w:line="223" w:lineRule="auto"/>
            </w:pPr>
            <w:r>
              <w:rPr>
                <w:rFonts w:ascii="Times New Roman" w:hAnsi="Times New Roman"/>
                <w:sz w:val="13"/>
              </w:rPr>
              <w:t>Deut. 12:15</w:t>
            </w:r>
          </w:p>
        </w:tc>
        <w:tc>
          <w:tcPr>
            <w:tcW w:type="dxa" w:w="3561"/>
            <w:vAlign w:val="top"/>
          </w:tcPr>
          <w:p>
            <w:pPr>
              <w:spacing w:after="0" w:line="223" w:lineRule="auto"/>
            </w:pPr>
            <w:r>
              <w:rPr>
                <w:rFonts w:ascii="Times New Roman" w:hAnsi="Times New Roman"/>
                <w:sz w:val="13"/>
              </w:rPr>
              <w:t>ordinary meat</w:t>
            </w:r>
          </w:p>
        </w:tc>
        <w:tc>
          <w:tcPr>
            <w:tcW w:type="dxa" w:w="3561"/>
            <w:vAlign w:val="top"/>
          </w:tcPr>
          <w:p>
            <w:pPr>
              <w:spacing w:after="0" w:line="223" w:lineRule="auto"/>
            </w:pPr>
            <w:r>
              <w:rPr>
                <w:rFonts w:ascii="Times New Roman" w:hAnsi="Times New Roman"/>
                <w:sz w:val="13"/>
              </w:rPr>
              <w:t>Clean/unclean may eat; sacrificial restrictions differ.</w:t>
            </w:r>
          </w:p>
        </w:tc>
      </w:tr>
      <w:tr>
        <w:tc>
          <w:tcPr>
            <w:tcW w:type="dxa" w:w="3561"/>
            <w:vAlign w:val="top"/>
          </w:tcPr>
          <w:p>
            <w:pPr>
              <w:spacing w:after="0" w:line="223" w:lineRule="auto"/>
            </w:pPr>
            <w:r>
              <w:rPr>
                <w:rFonts w:ascii="Times New Roman" w:hAnsi="Times New Roman"/>
                <w:sz w:val="13"/>
              </w:rPr>
              <w:t>Deut. 12:16</w:t>
            </w:r>
          </w:p>
        </w:tc>
        <w:tc>
          <w:tcPr>
            <w:tcW w:type="dxa" w:w="3561"/>
            <w:vAlign w:val="top"/>
          </w:tcPr>
          <w:p>
            <w:pPr>
              <w:spacing w:after="0" w:line="223" w:lineRule="auto"/>
            </w:pPr>
            <w:r>
              <w:rPr>
                <w:rFonts w:ascii="Times New Roman" w:hAnsi="Times New Roman"/>
                <w:sz w:val="13"/>
              </w:rPr>
              <w:t>blood poured out</w:t>
            </w:r>
          </w:p>
        </w:tc>
        <w:tc>
          <w:tcPr>
            <w:tcW w:type="dxa" w:w="3561"/>
            <w:vAlign w:val="top"/>
          </w:tcPr>
          <w:p>
            <w:pPr>
              <w:spacing w:after="0" w:line="223" w:lineRule="auto"/>
            </w:pPr>
            <w:r>
              <w:rPr>
                <w:rFonts w:ascii="Times New Roman" w:hAnsi="Times New Roman"/>
                <w:sz w:val="13"/>
              </w:rPr>
              <w:t>Not eaten.</w:t>
            </w:r>
          </w:p>
        </w:tc>
      </w:tr>
      <w:tr>
        <w:tc>
          <w:tcPr>
            <w:tcW w:type="dxa" w:w="3561"/>
            <w:vAlign w:val="top"/>
          </w:tcPr>
          <w:p>
            <w:pPr>
              <w:spacing w:after="0" w:line="223" w:lineRule="auto"/>
            </w:pPr>
            <w:r>
              <w:rPr>
                <w:rFonts w:ascii="Times New Roman" w:hAnsi="Times New Roman"/>
                <w:sz w:val="13"/>
              </w:rPr>
              <w:t>Deut. 12:17–18</w:t>
            </w:r>
          </w:p>
        </w:tc>
        <w:tc>
          <w:tcPr>
            <w:tcW w:type="dxa" w:w="3561"/>
            <w:vAlign w:val="top"/>
          </w:tcPr>
          <w:p>
            <w:pPr>
              <w:spacing w:after="0" w:line="223" w:lineRule="auto"/>
            </w:pPr>
            <w:r>
              <w:rPr>
                <w:rFonts w:ascii="Times New Roman" w:hAnsi="Times New Roman"/>
                <w:sz w:val="13"/>
              </w:rPr>
              <w:t>sacred dues</w:t>
            </w:r>
          </w:p>
        </w:tc>
        <w:tc>
          <w:tcPr>
            <w:tcW w:type="dxa" w:w="3561"/>
            <w:vAlign w:val="top"/>
          </w:tcPr>
          <w:p>
            <w:pPr>
              <w:spacing w:after="0" w:line="223" w:lineRule="auto"/>
            </w:pPr>
            <w:r>
              <w:rPr>
                <w:rFonts w:ascii="Times New Roman" w:hAnsi="Times New Roman"/>
                <w:sz w:val="13"/>
              </w:rPr>
              <w:t>Must be handled at chosen place.</w:t>
            </w:r>
          </w:p>
        </w:tc>
      </w:tr>
      <w:tr>
        <w:tc>
          <w:tcPr>
            <w:tcW w:type="dxa" w:w="3561"/>
            <w:vAlign w:val="top"/>
          </w:tcPr>
          <w:p>
            <w:pPr>
              <w:spacing w:after="0" w:line="223" w:lineRule="auto"/>
            </w:pPr>
            <w:r>
              <w:rPr>
                <w:rFonts w:ascii="Times New Roman" w:hAnsi="Times New Roman"/>
                <w:sz w:val="13"/>
              </w:rPr>
              <w:t>Deut. 12:19</w:t>
            </w:r>
          </w:p>
        </w:tc>
        <w:tc>
          <w:tcPr>
            <w:tcW w:type="dxa" w:w="3561"/>
            <w:vAlign w:val="top"/>
          </w:tcPr>
          <w:p>
            <w:pPr>
              <w:spacing w:after="0" w:line="223" w:lineRule="auto"/>
            </w:pPr>
            <w:r>
              <w:rPr>
                <w:rFonts w:ascii="Times New Roman" w:hAnsi="Times New Roman"/>
                <w:sz w:val="13"/>
              </w:rPr>
              <w:t>Levite</w:t>
            </w:r>
          </w:p>
        </w:tc>
        <w:tc>
          <w:tcPr>
            <w:tcW w:type="dxa" w:w="3561"/>
            <w:vAlign w:val="top"/>
          </w:tcPr>
          <w:p>
            <w:pPr>
              <w:spacing w:after="0" w:line="223" w:lineRule="auto"/>
            </w:pPr>
            <w:r>
              <w:rPr>
                <w:rFonts w:ascii="Times New Roman" w:hAnsi="Times New Roman"/>
                <w:sz w:val="13"/>
              </w:rPr>
              <w:t>Do not forsake him.</w:t>
            </w:r>
          </w:p>
        </w:tc>
      </w:tr>
      <w:tr>
        <w:tc>
          <w:tcPr>
            <w:tcW w:type="dxa" w:w="3561"/>
            <w:vAlign w:val="top"/>
          </w:tcPr>
          <w:p>
            <w:pPr>
              <w:spacing w:after="0" w:line="223" w:lineRule="auto"/>
            </w:pPr>
            <w:r>
              <w:rPr>
                <w:rFonts w:ascii="Times New Roman" w:hAnsi="Times New Roman"/>
                <w:sz w:val="13"/>
              </w:rPr>
              <w:t>Deut. 12:20–22</w:t>
            </w:r>
          </w:p>
        </w:tc>
        <w:tc>
          <w:tcPr>
            <w:tcW w:type="dxa" w:w="3561"/>
            <w:vAlign w:val="top"/>
          </w:tcPr>
          <w:p>
            <w:pPr>
              <w:spacing w:after="0" w:line="223" w:lineRule="auto"/>
            </w:pPr>
            <w:r>
              <w:rPr>
                <w:rFonts w:ascii="Times New Roman" w:hAnsi="Times New Roman"/>
                <w:sz w:val="13"/>
              </w:rPr>
              <w:t>distance/local slaughter</w:t>
            </w:r>
          </w:p>
        </w:tc>
        <w:tc>
          <w:tcPr>
            <w:tcW w:type="dxa" w:w="3561"/>
            <w:vAlign w:val="top"/>
          </w:tcPr>
          <w:p>
            <w:pPr>
              <w:spacing w:after="0" w:line="223" w:lineRule="auto"/>
            </w:pPr>
            <w:r>
              <w:rPr>
                <w:rFonts w:ascii="Times New Roman" w:hAnsi="Times New Roman"/>
                <w:sz w:val="13"/>
              </w:rPr>
              <w:t>Expanded territory accommodated.</w:t>
            </w:r>
          </w:p>
        </w:tc>
      </w:tr>
      <w:tr>
        <w:tc>
          <w:tcPr>
            <w:tcW w:type="dxa" w:w="3561"/>
            <w:vAlign w:val="top"/>
          </w:tcPr>
          <w:p>
            <w:pPr>
              <w:spacing w:after="0" w:line="223" w:lineRule="auto"/>
            </w:pPr>
            <w:r>
              <w:rPr>
                <w:rFonts w:ascii="Times New Roman" w:hAnsi="Times New Roman"/>
                <w:sz w:val="13"/>
              </w:rPr>
              <w:t>Deut. 12:23</w:t>
            </w:r>
          </w:p>
        </w:tc>
        <w:tc>
          <w:tcPr>
            <w:tcW w:type="dxa" w:w="3561"/>
            <w:vAlign w:val="top"/>
          </w:tcPr>
          <w:p>
            <w:pPr>
              <w:spacing w:after="0" w:line="223" w:lineRule="auto"/>
            </w:pPr>
            <w:r>
              <w:rPr>
                <w:rFonts w:ascii="Times New Roman" w:hAnsi="Times New Roman"/>
                <w:sz w:val="13"/>
              </w:rPr>
              <w:t>dam / nephesh</w:t>
            </w:r>
          </w:p>
        </w:tc>
        <w:tc>
          <w:tcPr>
            <w:tcW w:type="dxa" w:w="3561"/>
            <w:vAlign w:val="top"/>
          </w:tcPr>
          <w:p>
            <w:pPr>
              <w:spacing w:after="0" w:line="223" w:lineRule="auto"/>
            </w:pPr>
            <w:r>
              <w:rPr>
                <w:rFonts w:ascii="Times New Roman" w:hAnsi="Times New Roman"/>
                <w:sz w:val="13"/>
              </w:rPr>
              <w:t>Blood / life.</w:t>
            </w:r>
          </w:p>
        </w:tc>
      </w:tr>
      <w:tr>
        <w:tc>
          <w:tcPr>
            <w:tcW w:type="dxa" w:w="3561"/>
            <w:vAlign w:val="top"/>
          </w:tcPr>
          <w:p>
            <w:pPr>
              <w:spacing w:after="0" w:line="223" w:lineRule="auto"/>
            </w:pPr>
            <w:r>
              <w:rPr>
                <w:rFonts w:ascii="Times New Roman" w:hAnsi="Times New Roman"/>
                <w:sz w:val="13"/>
              </w:rPr>
              <w:t>Deut. 12:26–27</w:t>
            </w:r>
          </w:p>
        </w:tc>
        <w:tc>
          <w:tcPr>
            <w:tcW w:type="dxa" w:w="3561"/>
            <w:vAlign w:val="top"/>
          </w:tcPr>
          <w:p>
            <w:pPr>
              <w:spacing w:after="0" w:line="223" w:lineRule="auto"/>
            </w:pPr>
            <w:r>
              <w:rPr>
                <w:rFonts w:ascii="Times New Roman" w:hAnsi="Times New Roman"/>
                <w:sz w:val="13"/>
              </w:rPr>
              <w:t>holy offerings</w:t>
            </w:r>
          </w:p>
        </w:tc>
        <w:tc>
          <w:tcPr>
            <w:tcW w:type="dxa" w:w="3561"/>
            <w:vAlign w:val="top"/>
          </w:tcPr>
          <w:p>
            <w:pPr>
              <w:spacing w:after="0" w:line="223" w:lineRule="auto"/>
            </w:pPr>
            <w:r>
              <w:rPr>
                <w:rFonts w:ascii="Times New Roman" w:hAnsi="Times New Roman"/>
                <w:sz w:val="13"/>
              </w:rPr>
              <w:t>Still sanctuary-bound.</w:t>
            </w:r>
          </w:p>
        </w:tc>
      </w:tr>
      <w:tr>
        <w:tc>
          <w:tcPr>
            <w:tcW w:type="dxa" w:w="3561"/>
            <w:vAlign w:val="top"/>
          </w:tcPr>
          <w:p>
            <w:pPr>
              <w:spacing w:after="0" w:line="223" w:lineRule="auto"/>
            </w:pPr>
            <w:r>
              <w:rPr>
                <w:rFonts w:ascii="Times New Roman" w:hAnsi="Times New Roman"/>
                <w:sz w:val="13"/>
              </w:rPr>
              <w:t>Deut. 12:30</w:t>
            </w:r>
          </w:p>
        </w:tc>
        <w:tc>
          <w:tcPr>
            <w:tcW w:type="dxa" w:w="3561"/>
            <w:vAlign w:val="top"/>
          </w:tcPr>
          <w:p>
            <w:pPr>
              <w:spacing w:after="0" w:line="223" w:lineRule="auto"/>
            </w:pPr>
            <w:r>
              <w:rPr>
                <w:rFonts w:ascii="Times New Roman" w:hAnsi="Times New Roman"/>
                <w:sz w:val="13"/>
              </w:rPr>
              <w:t>do not imitate</w:t>
            </w:r>
          </w:p>
        </w:tc>
        <w:tc>
          <w:tcPr>
            <w:tcW w:type="dxa" w:w="3561"/>
            <w:vAlign w:val="top"/>
          </w:tcPr>
          <w:p>
            <w:pPr>
              <w:spacing w:after="0" w:line="223" w:lineRule="auto"/>
            </w:pPr>
            <w:r>
              <w:rPr>
                <w:rFonts w:ascii="Times New Roman" w:hAnsi="Times New Roman"/>
                <w:sz w:val="13"/>
              </w:rPr>
              <w:t>Warning against adopting pagan methods.</w:t>
            </w:r>
          </w:p>
        </w:tc>
      </w:tr>
      <w:tr>
        <w:tc>
          <w:tcPr>
            <w:tcW w:type="dxa" w:w="3561"/>
            <w:vAlign w:val="top"/>
          </w:tcPr>
          <w:p>
            <w:pPr>
              <w:spacing w:after="0" w:line="223" w:lineRule="auto"/>
            </w:pPr>
            <w:r>
              <w:rPr>
                <w:rFonts w:ascii="Times New Roman" w:hAnsi="Times New Roman"/>
                <w:sz w:val="13"/>
              </w:rPr>
              <w:t>Deut. 12:31</w:t>
            </w:r>
          </w:p>
        </w:tc>
        <w:tc>
          <w:tcPr>
            <w:tcW w:type="dxa" w:w="3561"/>
            <w:vAlign w:val="top"/>
          </w:tcPr>
          <w:p>
            <w:pPr>
              <w:spacing w:after="0" w:line="223" w:lineRule="auto"/>
            </w:pPr>
            <w:r>
              <w:rPr>
                <w:rFonts w:ascii="Times New Roman" w:hAnsi="Times New Roman"/>
                <w:sz w:val="13"/>
              </w:rPr>
              <w:t>sons/daughters burned</w:t>
            </w:r>
          </w:p>
        </w:tc>
        <w:tc>
          <w:tcPr>
            <w:tcW w:type="dxa" w:w="3561"/>
            <w:vAlign w:val="top"/>
          </w:tcPr>
          <w:p>
            <w:pPr>
              <w:spacing w:after="0" w:line="223" w:lineRule="auto"/>
            </w:pPr>
            <w:r>
              <w:rPr>
                <w:rFonts w:ascii="Times New Roman" w:hAnsi="Times New Roman"/>
                <w:sz w:val="13"/>
              </w:rPr>
              <w:t>Abominable worship explicitly rejected.</w:t>
            </w:r>
          </w:p>
        </w:tc>
      </w:tr>
      <w:tr>
        <w:tc>
          <w:tcPr>
            <w:tcW w:type="dxa" w:w="3561"/>
            <w:vAlign w:val="top"/>
          </w:tcPr>
          <w:p>
            <w:pPr>
              <w:spacing w:after="0" w:line="223" w:lineRule="auto"/>
            </w:pPr>
            <w:r>
              <w:rPr>
                <w:rFonts w:ascii="Times New Roman" w:hAnsi="Times New Roman"/>
                <w:sz w:val="13"/>
              </w:rPr>
              <w:t>KJV 12:32 / MT 13:1</w:t>
            </w:r>
          </w:p>
        </w:tc>
        <w:tc>
          <w:tcPr>
            <w:tcW w:type="dxa" w:w="3561"/>
            <w:vAlign w:val="top"/>
          </w:tcPr>
          <w:p>
            <w:pPr>
              <w:spacing w:after="0" w:line="223" w:lineRule="auto"/>
            </w:pPr>
            <w:r>
              <w:rPr>
                <w:rFonts w:ascii="Times New Roman" w:hAnsi="Times New Roman"/>
                <w:sz w:val="13"/>
              </w:rPr>
              <w:t>chapter numbering</w:t>
            </w:r>
          </w:p>
        </w:tc>
        <w:tc>
          <w:tcPr>
            <w:tcW w:type="dxa" w:w="3561"/>
            <w:vAlign w:val="top"/>
          </w:tcPr>
          <w:p>
            <w:pPr>
              <w:spacing w:after="0" w:line="223" w:lineRule="auto"/>
            </w:pPr>
            <w:r>
              <w:rPr>
                <w:rFonts w:ascii="Times New Roman" w:hAnsi="Times New Roman"/>
                <w:sz w:val="13"/>
              </w:rPr>
              <w:t>Same sentence, different traditional numbering.</w:t>
            </w:r>
          </w:p>
        </w:tc>
      </w:tr>
    </w:tbl>
    <w:p>
      <w:pPr>
        <w:pStyle w:val="Heading1"/>
      </w:pPr>
      <w:r>
        <w:t>RESIDUAL UNCERTAINTIES</w:t>
      </w:r>
    </w:p>
    <w:p>
      <w:pPr/>
      <w:r>
        <w:rPr>
          <w:i w:val="0"/>
        </w:rPr>
        <w:t>The historical sequence of sanctuary sites and the exact scope of decentralised sacrifice before Israel’s “rest” are complex. The chapter’s controlling point is nevertheless clear: sacrificial worship in settled Israel is governed by Yahweh’s chosen place and command, not religious preference.</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12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4" w:after="11"/>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9" w:after="11"/>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