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DEUTERONOMY 14</w:t>
      </w:r>
    </w:p>
    <w:p>
      <w:pPr>
        <w:pStyle w:val="Subtitle"/>
      </w:pPr>
      <w:r>
        <w:t>CHILDREN OF YAHWEH • HOLY AND TREASURED PEOPLE • MOURNING DISTINCT FROM PAGAN CUSTOM • CLEAN AND UNCLEAN FOODS • DIFFICULT ANIMAL IDENTIFICATIONS • ANNUAL TITHE AND REJOICING • THIRD-YEAR PROVISION FOR THE VULNERABLE</w:t>
      </w:r>
    </w:p>
    <w:p>
      <w:pPr/>
      <w:r>
        <w:rPr>
          <w:i/>
        </w:rPr>
        <w:t>H. P. Mansfield Bible notes — checked and arranged in verse-by-verse Expositor style</w:t>
      </w:r>
    </w:p>
    <w:p>
      <w:pPr/>
      <w:r>
        <w:rPr>
          <w:i w:val="0"/>
        </w:rPr>
        <w:t>Source: HPB 04-Deu01-Jud04.PDF mainly pp. 24–25; cross-checked with Mansfield’s Deuteronomy Expositor Chapter 14 and Leviticus 11.</w:t>
      </w:r>
    </w:p>
    <w:p>
      <w:pPr>
        <w:pStyle w:val="Heading1"/>
      </w:pPr>
      <w:r>
        <w:t>CHAPTER OVERVIEW</w:t>
      </w:r>
    </w:p>
    <w:p>
      <w:pPr/>
      <w:r>
        <w:rPr>
          <w:i w:val="0"/>
        </w:rPr>
        <w:t>Israel’s holiness reaches grief, food, prosperity and generosity. The chapter begins from identity: Israel is Yahweh’s children and holy people, His treasured possession.</w:t>
      </w:r>
    </w:p>
    <w:p>
      <w:pPr/>
      <w:r>
        <w:rPr>
          <w:i w:val="0"/>
        </w:rPr>
        <w:t>The dietary laws restate the clean/unclean distinction for life in the land. The second half turns increase into worship and social care: produce is enjoyed before Yahweh, the Levite is remembered, and the third-year provision feeds the stranger, fatherless and widow.</w:t>
      </w:r>
    </w:p>
    <w:p>
      <w:pPr>
        <w:pStyle w:val="Heading1"/>
      </w:pPr>
      <w:r>
        <w:t>HOLINESS IN MOURNING — DEUTERONOMY 14:1–2</w:t>
      </w:r>
    </w:p>
    <w:p>
      <w:pPr>
        <w:pStyle w:val="Heading2"/>
      </w:pPr>
      <w:r>
        <w:t>Deuteronomy 14:1 — no cutting or bald patch for the dead</w:t>
      </w:r>
    </w:p>
    <w:p>
      <w:pPr/>
      <w:r>
        <w:rPr>
          <w:i w:val="0"/>
        </w:rPr>
        <w:t>Israel must not cut itself or make ritual baldness between the eyes for the dead.</w:t>
      </w:r>
    </w:p>
    <w:p>
      <w:pPr/>
      <w:r>
        <w:rPr>
          <w:i w:val="0"/>
        </w:rPr>
        <w:t>Similar practices occur in wider ancient Near Eastern mourning and religious customs. The precise belief behind each act is not stated, so Mansfield’s suggestion that blood/hair formed a covenant offering to the dead should remain speculative.</w:t>
      </w:r>
    </w:p>
    <w:p>
      <w:pPr>
        <w:pStyle w:val="Heading2"/>
      </w:pPr>
      <w:r>
        <w:t>Deuteronomy 14:2 — holy and `segullah`</w:t>
      </w:r>
    </w:p>
    <w:p>
      <w:pPr/>
      <w:r>
        <w:rPr>
          <w:i w:val="0"/>
        </w:rPr>
        <w:t>Israel is holy, set apart to Yahweh, and chosen as a `segullah`, treasured/special possession.</w:t>
      </w:r>
    </w:p>
    <w:p>
      <w:pPr/>
      <w:r>
        <w:rPr>
          <w:i w:val="0"/>
        </w:rPr>
        <w:t>KJV “peculiar” uses older English meaning special possession, not strange. Mansfield’s proposed root explanation of `segullah` as wealth “shut up” or necessarily “purchased” is not needed for the secure sense treasured possession.</w:t>
      </w:r>
    </w:p>
    <w:p>
      <w:pPr>
        <w:pStyle w:val="Heading1"/>
      </w:pPr>
      <w:r>
        <w:t>CLEAN LAND ANIMALS — DEUTERONOMY 14:3–8</w:t>
      </w:r>
    </w:p>
    <w:p>
      <w:pPr>
        <w:pStyle w:val="Heading2"/>
      </w:pPr>
      <w:r>
        <w:t>Deuteronomy 14:3–6 — named animals and the two criteria</w:t>
      </w:r>
    </w:p>
    <w:p>
      <w:pPr/>
      <w:r>
        <w:rPr>
          <w:i w:val="0"/>
        </w:rPr>
        <w:t>Permitted land animals include domesticated herd/flock animals and several wild species. The general clean criterion is a completely divided hoof together with chewing the cud/bringing up food.</w:t>
      </w:r>
    </w:p>
    <w:p>
      <w:pPr/>
      <w:r>
        <w:rPr>
          <w:i w:val="0"/>
        </w:rPr>
        <w:t>Several old English animal labels and their Hebrew counterparts cannot be identified with complete certainty. Mansfield’s precise assignments of every wild species—pygarg, wild ox, chamois, etc.—should therefore be marked tentative.</w:t>
      </w:r>
    </w:p>
    <w:p>
      <w:pPr>
        <w:pStyle w:val="Heading2"/>
      </w:pPr>
      <w:r>
        <w:t>Deuteronomy 14:7–8 — camel, hare, hyrax/coney and pig</w:t>
      </w:r>
    </w:p>
    <w:p>
      <w:pPr/>
      <w:r>
        <w:rPr>
          <w:i w:val="0"/>
        </w:rPr>
        <w:t>Animals lacking one of the stated criteria are unclean for Israel.</w:t>
      </w:r>
    </w:p>
    <w:p>
      <w:pPr/>
      <w:r>
        <w:rPr>
          <w:i w:val="0"/>
        </w:rPr>
        <w:t>The biblical classification is covenantal/observational and should not be turned into modern zoological taxonomy debates. The text’s purpose is to distinguish permitted from prohibited foods.</w:t>
      </w:r>
    </w:p>
    <w:p>
      <w:pPr>
        <w:pStyle w:val="Heading1"/>
      </w:pPr>
      <w:r>
        <w:t>WATER CREATURES, BIRDS AND FLYING CREATURES — DEUTERONOMY 14:9–20</w:t>
      </w:r>
    </w:p>
    <w:p>
      <w:pPr>
        <w:pStyle w:val="Heading2"/>
      </w:pPr>
      <w:r>
        <w:t>Deuteronomy 14:9–10 — fins and scales</w:t>
      </w:r>
    </w:p>
    <w:p>
      <w:pPr/>
      <w:r>
        <w:rPr>
          <w:i w:val="0"/>
        </w:rPr>
        <w:t>Water creatures with fins and scales may be eaten; those lacking them are unclean.</w:t>
      </w:r>
    </w:p>
    <w:p>
      <w:pPr>
        <w:pStyle w:val="Heading2"/>
      </w:pPr>
      <w:r>
        <w:t>Deuteronomy 14:11–18 — bird list</w:t>
      </w:r>
    </w:p>
    <w:p>
      <w:pPr/>
      <w:r>
        <w:rPr>
          <w:i w:val="0"/>
        </w:rPr>
        <w:t>Clean birds may be eaten and a list of prohibited birds follows.</w:t>
      </w:r>
    </w:p>
    <w:p>
      <w:pPr/>
      <w:r>
        <w:rPr>
          <w:i w:val="0"/>
        </w:rPr>
        <w:t>Many ancient bird names are difficult to map with certainty onto modern species. Traditional KJV identifications such as ossifrage, glede and lapwing should not be treated as zoologically exact.</w:t>
      </w:r>
    </w:p>
    <w:p>
      <w:pPr>
        <w:pStyle w:val="Heading2"/>
      </w:pPr>
      <w:r>
        <w:t>Deuteronomy 14:19–20 — winged swarming creatures</w:t>
      </w:r>
    </w:p>
    <w:p>
      <w:pPr/>
      <w:r>
        <w:rPr>
          <w:i w:val="0"/>
        </w:rPr>
        <w:t>All winged swarming things in the category prohibited here are unclean, while clean flying creatures may be eaten.</w:t>
      </w:r>
    </w:p>
    <w:p>
      <w:pPr/>
      <w:r>
        <w:rPr>
          <w:i w:val="0"/>
        </w:rPr>
        <w:t>Comparison with Leviticus 11 is necessary because that fuller law gives exceptions among certain winged insects. Deuteronomy’s summary should not be read in isolation as contradicting Leviticus.</w:t>
      </w:r>
    </w:p>
    <w:p>
      <w:pPr>
        <w:pStyle w:val="Heading1"/>
      </w:pPr>
      <w:r>
        <w:t>CARCASSES AND THE KID IN ITS MOTHER’S MILK — DEUTERONOMY 14:21</w:t>
      </w:r>
    </w:p>
    <w:p>
      <w:pPr>
        <w:pStyle w:val="Heading2"/>
      </w:pPr>
      <w:r>
        <w:t>Deuteronomy 14:21 — animal that dies of itself</w:t>
      </w:r>
    </w:p>
    <w:p>
      <w:pPr/>
      <w:r>
        <w:rPr>
          <w:i w:val="0"/>
        </w:rPr>
        <w:t>Israel must not eat a carcass that died naturally. It may be given to the `ger` within the gates or sold to a `nokri`, foreigner.</w:t>
      </w:r>
    </w:p>
    <w:p>
      <w:pPr/>
      <w:r>
        <w:rPr>
          <w:i w:val="0"/>
        </w:rPr>
        <w:t>The distinction between resident stranger and foreign outsider is explicit. The verse does not say the meat is inherently poisonous; the prohibition marks Israel’s holiness.</w:t>
      </w:r>
    </w:p>
    <w:p>
      <w:pPr>
        <w:pStyle w:val="Heading2"/>
      </w:pPr>
      <w:r>
        <w:t>Deuteronomy 14:21 — do not boil a kid in its mother’s milk</w:t>
      </w:r>
    </w:p>
    <w:p>
      <w:pPr/>
      <w:r>
        <w:rPr>
          <w:i w:val="0"/>
        </w:rPr>
        <w:t>The command repeats Exodus 23:19 and 34:26.</w:t>
      </w:r>
    </w:p>
    <w:p>
      <w:pPr/>
      <w:r>
        <w:rPr>
          <w:i w:val="0"/>
        </w:rPr>
        <w:t>Proposed explanations include rejection of a Canaanite ritual, avoidance of cruelty or maintaining symbolic life-order, but the Torah itself gives no explanation. Mansfield-style certainty about one ritual background should be avoided.</w:t>
      </w:r>
    </w:p>
    <w:p>
      <w:pPr>
        <w:pStyle w:val="Heading1"/>
      </w:pPr>
      <w:r>
        <w:t>ANNUAL TITHE AT THE CHOSEN PLACE — DEUTERONOMY 14:22–27</w:t>
      </w:r>
    </w:p>
    <w:p>
      <w:pPr>
        <w:pStyle w:val="Heading2"/>
      </w:pPr>
      <w:r>
        <w:t>Deuteronomy 14:22–23 — tithe the yearly increase</w:t>
      </w:r>
    </w:p>
    <w:p>
      <w:pPr/>
      <w:r>
        <w:rPr>
          <w:i w:val="0"/>
        </w:rPr>
        <w:t>Israel tithes agricultural increase and eats the tithe and firstlings before Yahweh at the chosen place, “that thou mayest learn to fear Yahweh thy God always.”</w:t>
      </w:r>
    </w:p>
    <w:p>
      <w:pPr>
        <w:pStyle w:val="Heading2"/>
      </w:pPr>
      <w:r>
        <w:t>Deuteronomy 14:24–25 — money when distance is too great</w:t>
      </w:r>
    </w:p>
    <w:p>
      <w:pPr/>
      <w:r>
        <w:rPr>
          <w:i w:val="0"/>
        </w:rPr>
        <w:t>If the sanctuary is too distant to carry produce, the tithe may be converted into money and the money taken to the chosen place.</w:t>
      </w:r>
    </w:p>
    <w:p>
      <w:pPr>
        <w:pStyle w:val="Heading2"/>
      </w:pPr>
      <w:r>
        <w:t>Deuteronomy 14:26 — buy what is desired and rejoice</w:t>
      </w:r>
    </w:p>
    <w:p>
      <w:pPr/>
      <w:r>
        <w:rPr>
          <w:i w:val="0"/>
        </w:rPr>
        <w:t>The money may purchase cattle, sheep, wine, `shekar`/strong drink and whatever the nephesh desires for the feast; the household eats and rejoices before Yahweh.</w:t>
      </w:r>
    </w:p>
    <w:p>
      <w:pPr/>
      <w:r>
        <w:rPr>
          <w:i w:val="0"/>
        </w:rPr>
        <w:t>`Shekar` denotes intoxicating/fermented strong drink, not unfermented grape juice. `Nephesh` here means appetite/self/person.</w:t>
      </w:r>
    </w:p>
    <w:p>
      <w:pPr>
        <w:pStyle w:val="Heading2"/>
      </w:pPr>
      <w:r>
        <w:t>Deuteronomy 14:27 — do not forsake the Levite</w:t>
      </w:r>
    </w:p>
    <w:p>
      <w:pPr/>
      <w:r>
        <w:rPr>
          <w:i w:val="0"/>
        </w:rPr>
        <w:t>The Levite has no ordinary territorial inheritance and must remain included in Israel’s worship and generosity.</w:t>
      </w:r>
    </w:p>
    <w:p>
      <w:pPr>
        <w:pStyle w:val="Heading1"/>
      </w:pPr>
      <w:r>
        <w:t>THIRD-YEAR TITHE — DEUTERONOMY 14:28–29</w:t>
      </w:r>
    </w:p>
    <w:p>
      <w:pPr>
        <w:pStyle w:val="Heading2"/>
      </w:pPr>
      <w:r>
        <w:t>Deuteronomy 14:28 — store within the gates</w:t>
      </w:r>
    </w:p>
    <w:p>
      <w:pPr/>
      <w:r>
        <w:rPr>
          <w:i w:val="0"/>
        </w:rPr>
        <w:t>At the end of three years the tithe of that year’s increase is laid up locally.</w:t>
      </w:r>
    </w:p>
    <w:p>
      <w:pPr>
        <w:pStyle w:val="Heading2"/>
      </w:pPr>
      <w:r>
        <w:t>Deuteronomy 14:29 — Levite, ger, fatherless and widow</w:t>
      </w:r>
    </w:p>
    <w:p>
      <w:pPr/>
      <w:r>
        <w:rPr>
          <w:i w:val="0"/>
        </w:rPr>
        <w:t>Those without ordinary land-security may eat and be satisfied, and Yahweh’s blessing is linked with such generosity.</w:t>
      </w:r>
    </w:p>
    <w:p>
      <w:pPr/>
      <w:r>
        <w:rPr>
          <w:i w:val="0"/>
        </w:rPr>
        <w:t>Interpreters debate whether this is a distinct additional poor tithe or the third-year local disposition of the regular tithe. The text clearly establishes local third-year provision, but detailed later tithe systems should not be retrojected with certainty.</w:t>
      </w:r>
    </w:p>
    <w:p>
      <w:pPr>
        <w:pStyle w:val="Heading1"/>
      </w:pPr>
      <w:r>
        <w:t>PRINCIPAL THEMES</w:t>
      </w:r>
    </w:p>
    <w:p>
      <w:pPr>
        <w:ind w:left="259" w:hanging="202"/>
      </w:pPr>
      <w:r>
        <w:rPr>
          <w:b/>
        </w:rPr>
        <w:t xml:space="preserve">• </w:t>
      </w:r>
      <w:r>
        <w:t>`Segullah` means treasured/special possession; older KJV “peculiar” does not mean odd.</w:t>
      </w:r>
    </w:p>
    <w:p>
      <w:pPr>
        <w:ind w:left="259" w:hanging="202"/>
      </w:pPr>
      <w:r>
        <w:rPr>
          <w:b/>
        </w:rPr>
        <w:t xml:space="preserve">• </w:t>
      </w:r>
      <w:r>
        <w:t>The precise pagan rationale for mourning cuts/baldness is not stated.</w:t>
      </w:r>
    </w:p>
    <w:p>
      <w:pPr>
        <w:ind w:left="259" w:hanging="202"/>
      </w:pPr>
      <w:r>
        <w:rPr>
          <w:b/>
        </w:rPr>
        <w:t xml:space="preserve">• </w:t>
      </w:r>
      <w:r>
        <w:t>Several clean and unclean animal/bird names cannot be identified with zoological certainty.</w:t>
      </w:r>
    </w:p>
    <w:p>
      <w:pPr>
        <w:ind w:left="259" w:hanging="202"/>
      </w:pPr>
      <w:r>
        <w:rPr>
          <w:b/>
        </w:rPr>
        <w:t xml:space="preserve">• </w:t>
      </w:r>
      <w:r>
        <w:t>The food law is covenantal holiness legislation, not primarily a modern health code.</w:t>
      </w:r>
    </w:p>
    <w:p>
      <w:pPr>
        <w:ind w:left="259" w:hanging="202"/>
      </w:pPr>
      <w:r>
        <w:rPr>
          <w:b/>
        </w:rPr>
        <w:t xml:space="preserve">• </w:t>
      </w:r>
      <w:r>
        <w:t>Deuteronomy 14 should be read with Leviticus 11 for the fuller winged-creature categories.</w:t>
      </w:r>
    </w:p>
    <w:p>
      <w:pPr>
        <w:ind w:left="259" w:hanging="202"/>
      </w:pPr>
      <w:r>
        <w:rPr>
          <w:b/>
        </w:rPr>
        <w:t xml:space="preserve">• </w:t>
      </w:r>
      <w:r>
        <w:t>`Ger` and `nokri` are distinct terms in verse 21.</w:t>
      </w:r>
    </w:p>
    <w:p>
      <w:pPr>
        <w:ind w:left="259" w:hanging="202"/>
      </w:pPr>
      <w:r>
        <w:rPr>
          <w:b/>
        </w:rPr>
        <w:t xml:space="preserve">• </w:t>
      </w:r>
      <w:r>
        <w:t>The reason for not boiling a kid in its mother’s milk is not given in Torah.</w:t>
      </w:r>
    </w:p>
    <w:p>
      <w:pPr>
        <w:ind w:left="259" w:hanging="202"/>
      </w:pPr>
      <w:r>
        <w:rPr>
          <w:b/>
        </w:rPr>
        <w:t xml:space="preserve">• </w:t>
      </w:r>
      <w:r>
        <w:t>Money conversion makes distant tithe pilgrimage practical rather than cancelling the tithe.</w:t>
      </w:r>
    </w:p>
    <w:p>
      <w:pPr>
        <w:ind w:left="259" w:hanging="202"/>
      </w:pPr>
      <w:r>
        <w:rPr>
          <w:b/>
        </w:rPr>
        <w:t xml:space="preserve">• </w:t>
      </w:r>
      <w:r>
        <w:t>`Shekar` is fermented/strong drink.</w:t>
      </w:r>
    </w:p>
    <w:p>
      <w:pPr>
        <w:ind w:left="259" w:hanging="202"/>
      </w:pPr>
      <w:r>
        <w:rPr>
          <w:b/>
        </w:rPr>
        <w:t xml:space="preserve">• </w:t>
      </w:r>
      <w:r>
        <w:t>`Nephesh` in verse 26 refers to self/appetite.</w:t>
      </w:r>
    </w:p>
    <w:p>
      <w:pPr>
        <w:ind w:left="259" w:hanging="202"/>
      </w:pPr>
      <w:r>
        <w:rPr>
          <w:b/>
        </w:rPr>
        <w:t xml:space="preserve">• </w:t>
      </w:r>
      <w:r>
        <w:t>The third-year tithe provides locally for vulnerable people; whether later tithe categories represent separate tithes is debated.</w:t>
      </w:r>
    </w:p>
    <w:p>
      <w:pPr>
        <w:pStyle w:val="Heading1"/>
      </w:pPr>
      <w:r>
        <w:t>EDITORIAL VERIFICATION AND RECOVERED READINGS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61"/>
        <w:gridCol w:w="3561"/>
        <w:gridCol w:w="3561"/>
      </w:tblGrid>
      <w:tr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Location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Checked / corrected reading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Basis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14:1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mourning cuts/baldness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Pagan association likely; exact ritual rationale unstated.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14:2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segullah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Treasured/special possession.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14:4–5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wild animal names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Several modern species identifications uncertain.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14:6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hoof + cud criteria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Covenantal food classification.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14:7–8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camel/hare/hyrax/pig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Unclean under stated criteria.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14:9–10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fins and scales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Water-creature rule.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14:12–18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bird names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Many traditional identifications uncertain.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14:19–20 / Lev. 11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winged creatures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Read Deuteronomy summary with fuller Levitical exceptions.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14:21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ger / nokri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Resident stranger / foreign outsider distinguished.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14:21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kid in mother’s milk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Reason not stated; ritual/cruelty theories uncertain.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14:22–23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annual tithe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Eaten before Yahweh at chosen place.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14:24–25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money conversion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Accommodation for distance.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14:26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shekar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Strong/fermented drink.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14:26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nephesh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Self/appetite/person.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Deut. 14:28–29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third-year local tithe</w:t>
            </w:r>
          </w:p>
        </w:tc>
        <w:tc>
          <w:tcPr>
            <w:tcW w:type="dxa" w:w="3561"/>
            <w:vAlign w:val="top"/>
          </w:tcPr>
          <w:p>
            <w:pPr>
              <w:spacing w:after="0" w:line="223" w:lineRule="auto"/>
            </w:pPr>
            <w:r>
              <w:rPr>
                <w:rFonts w:ascii="Times New Roman" w:hAnsi="Times New Roman"/>
                <w:sz w:val="13"/>
              </w:rPr>
              <w:t>Feeds Levite, ger, fatherless, widow; exact tithe-system relation debated.</w:t>
            </w:r>
          </w:p>
        </w:tc>
      </w:tr>
    </w:tbl>
    <w:p>
      <w:pPr>
        <w:pStyle w:val="Heading1"/>
      </w:pPr>
      <w:r>
        <w:t>RESIDUAL UNCERTAINTIES</w:t>
      </w:r>
    </w:p>
    <w:p>
      <w:pPr/>
      <w:r>
        <w:rPr>
          <w:i w:val="0"/>
        </w:rPr>
        <w:t>The identification of several Hebrew animal and bird terms and the historical reason for the kid/milk prohibition remain uncertain. Mansfield’s rich typology of hoof, cud and individual animal characteristics is retained as devotional application rather than lexical fact.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49" w:right="778" w:bottom="749" w:left="77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55555"/>
        <w:sz w:val="16"/>
      </w:rPr>
      <w:t>H. P. MANSFIELD BIBLE NOTES  •  DEUTERONOMY 14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8" w:line="240" w:lineRule="auto"/>
    </w:pPr>
    <w:rPr>
      <w:rFonts w:ascii="Times New Roman" w:hAnsi="Times New Roman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4" w:after="11"/>
      <w:outlineLvl w:val="0"/>
    </w:pPr>
    <w:rPr>
      <w:rFonts w:asciiTheme="majorHAnsi" w:eastAsiaTheme="majorEastAsia" w:hAnsiTheme="majorHAnsi" w:cstheme="majorBidi" w:ascii="Arial" w:hAnsi="Arial"/>
      <w:b/>
      <w:bCs/>
      <w:color w:val="2761A1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9" w:after="11"/>
      <w:outlineLvl w:val="1"/>
    </w:pPr>
    <w:rPr>
      <w:rFonts w:asciiTheme="majorHAnsi" w:eastAsiaTheme="majorEastAsia" w:hAnsiTheme="majorHAnsi" w:cstheme="majorBidi" w:ascii="Arial" w:hAnsi="Arial"/>
      <w:b/>
      <w:bCs/>
      <w:color w:val="2761A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84064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/>
      <w:i/>
      <w:iCs/>
      <w:color w:val="367ED2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