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26</w:t>
      </w:r>
    </w:p>
    <w:p>
      <w:pPr>
        <w:pStyle w:val="Subtitle"/>
      </w:pPr>
      <w:r>
        <w:t>THE TABERNACLE CURTAINS • “ONE TABERNACLE” • BOARDS AND SILVER SOCKETS • THE VEIL • HOLY AND MOST HOLY • THE ENTRANCE SCREEN</w:t>
      </w:r>
    </w:p>
    <w:p>
      <w:pPr/>
      <w:r>
        <w:t>H. P. Mansfield Bible notes — checked and arranged in verse-by-verse Expositor style</w:t>
      </w:r>
    </w:p>
    <w:p>
      <w:pPr/>
      <w:r>
        <w:t>Source: HPB 02-Gen42-Lev11.pdf, principally Exodus 26 photographed pages 58–60</w:t>
      </w:r>
    </w:p>
    <w:p>
      <w:pPr>
        <w:pStyle w:val="Heading1"/>
      </w:pPr>
      <w:r>
        <w:t>CHAPTER OVERVIEW</w:t>
      </w:r>
    </w:p>
    <w:p>
      <w:pPr/>
      <w:r>
        <w:t>Exodus 26 describes the dwelling itself: inner curtains, outer tent coverings, frames/boards, sockets, bars, the inner veil and the entrance screen. Repeated joining language makes unity a major structural feature.</w:t>
      </w:r>
    </w:p>
    <w:p>
      <w:pPr/>
      <w:r>
        <w:t>The chapter also teaches ordered separation. The veil distinguishes Holy from Most Holy, while the entrance screen regulates access from the court. Hebrews later makes explicit use of the veil as a type when describing access through Christ.</w:t>
      </w:r>
    </w:p>
    <w:p>
      <w:pPr>
        <w:pStyle w:val="Heading1"/>
      </w:pPr>
      <w:r>
        <w:t>INNER CURTAINS — EXODUS 26:1–6</w:t>
      </w:r>
    </w:p>
    <w:p>
      <w:pPr>
        <w:pStyle w:val="Heading2"/>
      </w:pPr>
      <w:r>
        <w:t>Exodus 26:1–6 — beauty joined into one dwelling</w:t>
      </w:r>
    </w:p>
    <w:p>
      <w:pPr/>
      <w:r>
        <w:t>Ten yeri‘oth, curtains, are made from fine twisted linen with blue, purple and scarlet and cherubim of ma‘aseh choshev, skilled/designer workmanship. The colours repeat the sanctuary palette.</w:t>
      </w:r>
    </w:p>
    <w:p>
      <w:pPr/>
      <w:r>
        <w:t>The curtains form two groups of five and are joined by loops and fifty golden qerasim, clasps/hooks, “that it may be one tabernacle.” The Hebrew mishkan is the dwelling/tabernacle. Individual parts are ordered into one unified sanctuary.</w:t>
      </w:r>
    </w:p>
    <w:p>
      <w:pPr>
        <w:pStyle w:val="Heading1"/>
      </w:pPr>
      <w:r>
        <w:t>THE OUTER TENT AND COVERINGS — EXODUS 26:7–14</w:t>
      </w:r>
    </w:p>
    <w:p>
      <w:pPr>
        <w:pStyle w:val="Heading2"/>
      </w:pPr>
      <w:r>
        <w:t>Exodus 26:7–13 — goats’ hair curtains</w:t>
      </w:r>
    </w:p>
    <w:p>
      <w:pPr/>
      <w:r>
        <w:t>Eleven goats’ hair curtains form an ohel, tent, over the inner mishkan. The distinction between inner dwelling and outer tent is real in the Hebrew vocabulary, even though English often uses “tabernacle” broadly.</w:t>
      </w:r>
    </w:p>
    <w:p>
      <w:pPr/>
      <w:r>
        <w:t>The extra curtain and overhang provide complete outer coverage. Mansfield’s sin-bearing/separation symbolism for goats’ hair is typological rather than the lexical meaning of the material.</w:t>
      </w:r>
    </w:p>
    <w:p>
      <w:pPr>
        <w:pStyle w:val="Heading2"/>
      </w:pPr>
      <w:r>
        <w:t>Exodus 26:14 — red rams’ skins and tachash covering</w:t>
      </w:r>
    </w:p>
    <w:p>
      <w:pPr/>
      <w:r>
        <w:t>A covering of rams’ skins dyed red lies beneath the outermost tachash covering. As in Exodus 25, the KJV “badgers’ skins” is uncertain. The chapter gives no basis for making the outer material’s supposed unattractiveness a factual property; that is a devotional inference.</w:t>
      </w:r>
    </w:p>
    <w:p>
      <w:pPr>
        <w:pStyle w:val="Heading1"/>
      </w:pPr>
      <w:r>
        <w:t>FRAMES, SOCKETS AND BARS — EXODUS 26:15–30</w:t>
      </w:r>
    </w:p>
    <w:p>
      <w:pPr>
        <w:pStyle w:val="Heading2"/>
      </w:pPr>
      <w:r>
        <w:t>Exodus 26:15–25 — upright qerashim in silver sockets</w:t>
      </w:r>
    </w:p>
    <w:p>
      <w:pPr/>
      <w:r>
        <w:t>The qerashim are traditionally “boards,” though some scholars understand open frames. They are acacia wood standing upright in silver ’adanim, sockets/pedestals. Each has two yadoth, literally “hands,” meaning tenons/projections fitted into the sockets.</w:t>
      </w:r>
    </w:p>
    <w:p>
      <w:pPr/>
      <w:r>
        <w:t>North and south each have twenty units, while the western end includes corner construction. Because the precise carpentry profile is debated, the exposition should preserve the measurements and joining system without pretending the archaeological reconstruction is certain.</w:t>
      </w:r>
    </w:p>
    <w:p>
      <w:pPr>
        <w:pStyle w:val="Heading2"/>
      </w:pPr>
      <w:r>
        <w:t>Exodus 26:26–30 — bars unify the structure</w:t>
      </w:r>
    </w:p>
    <w:p>
      <w:pPr/>
      <w:r>
        <w:t>Acacia bars overlaid with gold pass through gold rings to strengthen the sides; the middle bar reaches from end to end. The repeated assembly language supports Mansfield’s ecclesial application of individual members joined into one dwelling.</w:t>
      </w:r>
    </w:p>
    <w:p>
      <w:pPr/>
      <w:r>
        <w:t>Verse 30 again commands Moses to erect the tabernacle according to the mishpat/fashion shown in the mountain. Construction is governed by revelation.</w:t>
      </w:r>
    </w:p>
    <w:p>
      <w:pPr>
        <w:pStyle w:val="Heading1"/>
      </w:pPr>
      <w:r>
        <w:t>THE VEIL AND THE TWO HOLY PLACES — EXODUS 26:31–35</w:t>
      </w:r>
    </w:p>
    <w:p>
      <w:pPr>
        <w:pStyle w:val="Heading2"/>
      </w:pPr>
      <w:r>
        <w:t>Exodus 26:31–33 — paroketh separates Holy from Most Holy</w:t>
      </w:r>
    </w:p>
    <w:p>
      <w:pPr/>
      <w:r>
        <w:t>The paroketh, inner veil, is made with blue, purple, scarlet, fine twisted linen and cherubim, and is hung from four gold-covered pillars in silver sockets. It separates the Holy Place from the Most Holy and the ark is placed within.</w:t>
      </w:r>
    </w:p>
    <w:p>
      <w:pPr/>
      <w:r>
        <w:t>Hebrews 9:3 explicitly names “the second veil,” and Hebrews 10:19–20 interprets access to the holiest through “the veil, that is to say, his flesh.” Mansfield’s Christological veil typology is therefore directly apostolic, though the colour symbolism remains secondary.</w:t>
      </w:r>
    </w:p>
    <w:p>
      <w:pPr>
        <w:pStyle w:val="Heading2"/>
      </w:pPr>
      <w:r>
        <w:t>Exodus 26:34–35 — furniture on each side</w:t>
      </w:r>
    </w:p>
    <w:p>
      <w:pPr/>
      <w:r>
        <w:t>The kapporeth is placed on the ark within the Most Holy. Outside the veil, the table is on the north side and the menorah opposite on the south. Light and bread occupy the Holy Place; ark and mercy-cover occupy the innermost sanctuary.</w:t>
      </w:r>
    </w:p>
    <w:p>
      <w:pPr>
        <w:pStyle w:val="Heading1"/>
      </w:pPr>
      <w:r>
        <w:t>THE ENTRANCE SCREEN — EXODUS 26:36–37</w:t>
      </w:r>
    </w:p>
    <w:p>
      <w:pPr>
        <w:pStyle w:val="Heading2"/>
      </w:pPr>
      <w:r>
        <w:t>Exodus 26:36–37 — masak distinct from paroketh</w:t>
      </w:r>
    </w:p>
    <w:p>
      <w:pPr/>
      <w:r>
        <w:t>The entrance hanging is a masak, screen, woven in the same principal colours but without the inner veil’s cherubim description. Five acacia pillars overlaid with gold stand in bronze/copper sockets.</w:t>
      </w:r>
    </w:p>
    <w:p>
      <w:pPr/>
      <w:r>
        <w:t>The entrance screen and inner veil should not be conflated. Both regulate access, but they mark different boundaries in the sanctuary.</w:t>
      </w:r>
    </w:p>
    <w:p>
      <w:pPr>
        <w:pStyle w:val="Heading1"/>
      </w:pPr>
      <w:r>
        <w:t>UNITY, SEPARATION AND PATTERN</w:t>
      </w:r>
    </w:p>
    <w:p>
      <w:pPr>
        <w:pStyle w:val="Heading2"/>
      </w:pPr>
      <w:r>
        <w:t>Exodus 26 as architecture of holiness</w:t>
      </w:r>
    </w:p>
    <w:p>
      <w:pPr/>
      <w:r>
        <w:t>Individual curtains, boards/frames, sockets, bars and coverings become one dwelling, while veil and screen create ordered degrees of approach. The chapter therefore combines unity with separation: holiness does not mean disorderly isolation, and unity does not abolish God-appointed distinctions.</w:t>
      </w:r>
    </w:p>
    <w:p>
      <w:pPr>
        <w:pStyle w:val="Heading1"/>
      </w:pPr>
      <w:r>
        <w:t>PRINCIPAL THEMES</w:t>
      </w:r>
    </w:p>
    <w:p>
      <w:pPr/>
      <w:r>
        <w:t>• The tabernacle is one dwelling assembled from many ordered parts.</w:t>
      </w:r>
    </w:p>
    <w:p>
      <w:pPr/>
      <w:r>
        <w:t>• Inner beauty and outer protection belong to the same sanctuary.</w:t>
      </w:r>
    </w:p>
    <w:p>
      <w:pPr/>
      <w:r>
        <w:t>• Silver sockets and linked bars provide a stable, unified structure.</w:t>
      </w:r>
    </w:p>
    <w:p>
      <w:pPr/>
      <w:r>
        <w:t>• The exact physical reconstruction of the boards/frames should remain cautious.</w:t>
      </w:r>
    </w:p>
    <w:p>
      <w:pPr/>
      <w:r>
        <w:t>• The inner veil establishes a real boundary between Holy and Most Holy.</w:t>
      </w:r>
    </w:p>
    <w:p>
      <w:pPr/>
      <w:r>
        <w:t>• Hebrews explicitly uses the veil as a type of access through Christ.</w:t>
      </w:r>
    </w:p>
    <w:p>
      <w:pPr/>
      <w:r>
        <w:t>• The entrance screen is distinct from the inner veil.</w:t>
      </w:r>
    </w:p>
    <w:p>
      <w:pPr/>
      <w:r>
        <w:t>• Every dimension and joining remains subject to the revealed pattern.</w:t>
      </w:r>
    </w:p>
    <w:p>
      <w:pPr>
        <w:pStyle w:val="Heading1"/>
      </w:pPr>
      <w:r>
        <w:t>EDITORIAL VERIFICATION AND RECOVERED READINGS</w:t>
      </w:r>
    </w:p>
    <w:tbl>
      <w:tblPr>
        <w:tblStyle w:val="TableGrid"/>
        <w:tblW w:type="auto" w:w="0"/>
        <w:tblLook w:firstColumn="1" w:firstRow="1" w:lastColumn="0" w:lastRow="0" w:noHBand="0" w:noVBand="1" w:val="04A0"/>
      </w:tblPr>
      <w:tblGrid>
        <w:gridCol w:w="3552"/>
        <w:gridCol w:w="3552"/>
        <w:gridCol w:w="3552"/>
      </w:tblGrid>
      <w:tr>
        <w:tc>
          <w:tcPr>
            <w:tcW w:type="dxa" w:w="3552"/>
          </w:tcPr>
          <w:p>
            <w:r>
              <w:t>Location</w:t>
            </w:r>
          </w:p>
        </w:tc>
        <w:tc>
          <w:tcPr>
            <w:tcW w:type="dxa" w:w="3552"/>
          </w:tcPr>
          <w:p>
            <w:r>
              <w:t>Checked / corrected reading</w:t>
            </w:r>
          </w:p>
        </w:tc>
        <w:tc>
          <w:tcPr>
            <w:tcW w:type="dxa" w:w="3552"/>
          </w:tcPr>
          <w:p>
            <w:r>
              <w:t>Basis</w:t>
            </w:r>
          </w:p>
        </w:tc>
      </w:tr>
      <w:tr>
        <w:tc>
          <w:tcPr>
            <w:tcW w:type="dxa" w:w="3552"/>
          </w:tcPr>
          <w:p>
            <w:r>
              <w:t>Ex. 26:1</w:t>
            </w:r>
          </w:p>
        </w:tc>
        <w:tc>
          <w:tcPr>
            <w:tcW w:type="dxa" w:w="3552"/>
          </w:tcPr>
          <w:p>
            <w:r>
              <w:t>yeri‘oth</w:t>
            </w:r>
          </w:p>
        </w:tc>
        <w:tc>
          <w:tcPr>
            <w:tcW w:type="dxa" w:w="3552"/>
          </w:tcPr>
          <w:p>
            <w:r>
              <w:t>Curtains.</w:t>
            </w:r>
          </w:p>
        </w:tc>
      </w:tr>
      <w:tr>
        <w:tc>
          <w:tcPr>
            <w:tcW w:type="dxa" w:w="3552"/>
          </w:tcPr>
          <w:p>
            <w:r>
              <w:t>Ex. 26:1</w:t>
            </w:r>
          </w:p>
        </w:tc>
        <w:tc>
          <w:tcPr>
            <w:tcW w:type="dxa" w:w="3552"/>
          </w:tcPr>
          <w:p>
            <w:r>
              <w:t>ma‘aseh choshev</w:t>
            </w:r>
          </w:p>
        </w:tc>
        <w:tc>
          <w:tcPr>
            <w:tcW w:type="dxa" w:w="3552"/>
          </w:tcPr>
          <w:p>
            <w:r>
              <w:t>Skilled/designer workmanship.</w:t>
            </w:r>
          </w:p>
        </w:tc>
      </w:tr>
      <w:tr>
        <w:tc>
          <w:tcPr>
            <w:tcW w:type="dxa" w:w="3552"/>
          </w:tcPr>
          <w:p>
            <w:r>
              <w:t>Ex. 26:6</w:t>
            </w:r>
          </w:p>
        </w:tc>
        <w:tc>
          <w:tcPr>
            <w:tcW w:type="dxa" w:w="3552"/>
          </w:tcPr>
          <w:p>
            <w:r>
              <w:t>qerasim</w:t>
            </w:r>
          </w:p>
        </w:tc>
        <w:tc>
          <w:tcPr>
            <w:tcW w:type="dxa" w:w="3552"/>
          </w:tcPr>
          <w:p>
            <w:r>
              <w:t>Clasps/hooks joining curtains.</w:t>
            </w:r>
          </w:p>
        </w:tc>
      </w:tr>
      <w:tr>
        <w:tc>
          <w:tcPr>
            <w:tcW w:type="dxa" w:w="3552"/>
          </w:tcPr>
          <w:p>
            <w:r>
              <w:t>Ex. 26:6</w:t>
            </w:r>
          </w:p>
        </w:tc>
        <w:tc>
          <w:tcPr>
            <w:tcW w:type="dxa" w:w="3552"/>
          </w:tcPr>
          <w:p>
            <w:r>
              <w:t>mishkan</w:t>
            </w:r>
          </w:p>
        </w:tc>
        <w:tc>
          <w:tcPr>
            <w:tcW w:type="dxa" w:w="3552"/>
          </w:tcPr>
          <w:p>
            <w:r>
              <w:t>Dwelling/tabernacle; made one by joining.</w:t>
            </w:r>
          </w:p>
        </w:tc>
      </w:tr>
      <w:tr>
        <w:tc>
          <w:tcPr>
            <w:tcW w:type="dxa" w:w="3552"/>
          </w:tcPr>
          <w:p>
            <w:r>
              <w:t>Ex. 26:7</w:t>
            </w:r>
          </w:p>
        </w:tc>
        <w:tc>
          <w:tcPr>
            <w:tcW w:type="dxa" w:w="3552"/>
          </w:tcPr>
          <w:p>
            <w:r>
              <w:t>ohel</w:t>
            </w:r>
          </w:p>
        </w:tc>
        <w:tc>
          <w:tcPr>
            <w:tcW w:type="dxa" w:w="3552"/>
          </w:tcPr>
          <w:p>
            <w:r>
              <w:t>Tent/outer tent covering, distinct term from mishkan.</w:t>
            </w:r>
          </w:p>
        </w:tc>
      </w:tr>
      <w:tr>
        <w:tc>
          <w:tcPr>
            <w:tcW w:type="dxa" w:w="3552"/>
          </w:tcPr>
          <w:p>
            <w:r>
              <w:t>Ex. 26:14</w:t>
            </w:r>
          </w:p>
        </w:tc>
        <w:tc>
          <w:tcPr>
            <w:tcW w:type="dxa" w:w="3552"/>
          </w:tcPr>
          <w:p>
            <w:r>
              <w:t>tachash</w:t>
            </w:r>
          </w:p>
        </w:tc>
        <w:tc>
          <w:tcPr>
            <w:tcW w:type="dxa" w:w="3552"/>
          </w:tcPr>
          <w:p>
            <w:r>
              <w:t>Outermost skin/material uncertain.</w:t>
            </w:r>
          </w:p>
        </w:tc>
      </w:tr>
      <w:tr>
        <w:tc>
          <w:tcPr>
            <w:tcW w:type="dxa" w:w="3552"/>
          </w:tcPr>
          <w:p>
            <w:r>
              <w:t>Ex. 26:15</w:t>
            </w:r>
          </w:p>
        </w:tc>
        <w:tc>
          <w:tcPr>
            <w:tcW w:type="dxa" w:w="3552"/>
          </w:tcPr>
          <w:p>
            <w:r>
              <w:t>qerashim</w:t>
            </w:r>
          </w:p>
        </w:tc>
        <w:tc>
          <w:tcPr>
            <w:tcW w:type="dxa" w:w="3552"/>
          </w:tcPr>
          <w:p>
            <w:r>
              <w:t>Traditionally boards; frame-like construction also proposed.</w:t>
            </w:r>
          </w:p>
        </w:tc>
      </w:tr>
      <w:tr>
        <w:tc>
          <w:tcPr>
            <w:tcW w:type="dxa" w:w="3552"/>
          </w:tcPr>
          <w:p>
            <w:r>
              <w:t>Ex. 26:17</w:t>
            </w:r>
          </w:p>
        </w:tc>
        <w:tc>
          <w:tcPr>
            <w:tcW w:type="dxa" w:w="3552"/>
          </w:tcPr>
          <w:p>
            <w:r>
              <w:t>yadoth</w:t>
            </w:r>
          </w:p>
        </w:tc>
        <w:tc>
          <w:tcPr>
            <w:tcW w:type="dxa" w:w="3552"/>
          </w:tcPr>
          <w:p>
            <w:r>
              <w:t>Literally hands; tenons/projections.</w:t>
            </w:r>
          </w:p>
        </w:tc>
      </w:tr>
      <w:tr>
        <w:tc>
          <w:tcPr>
            <w:tcW w:type="dxa" w:w="3552"/>
          </w:tcPr>
          <w:p>
            <w:r>
              <w:t>Ex. 26:19</w:t>
            </w:r>
          </w:p>
        </w:tc>
        <w:tc>
          <w:tcPr>
            <w:tcW w:type="dxa" w:w="3552"/>
          </w:tcPr>
          <w:p>
            <w:r>
              <w:t>’adanim</w:t>
            </w:r>
          </w:p>
        </w:tc>
        <w:tc>
          <w:tcPr>
            <w:tcW w:type="dxa" w:w="3552"/>
          </w:tcPr>
          <w:p>
            <w:r>
              <w:t>Sockets/pedestals, here silver.</w:t>
            </w:r>
          </w:p>
        </w:tc>
      </w:tr>
      <w:tr>
        <w:tc>
          <w:tcPr>
            <w:tcW w:type="dxa" w:w="3552"/>
          </w:tcPr>
          <w:p>
            <w:r>
              <w:t>Ex. 26:26–29</w:t>
            </w:r>
          </w:p>
        </w:tc>
        <w:tc>
          <w:tcPr>
            <w:tcW w:type="dxa" w:w="3552"/>
          </w:tcPr>
          <w:p>
            <w:r>
              <w:t>bars and rings</w:t>
            </w:r>
          </w:p>
        </w:tc>
        <w:tc>
          <w:tcPr>
            <w:tcW w:type="dxa" w:w="3552"/>
          </w:tcPr>
          <w:p>
            <w:r>
              <w:t>Structural unification; exact carpentry details secondary.</w:t>
            </w:r>
          </w:p>
        </w:tc>
      </w:tr>
      <w:tr>
        <w:tc>
          <w:tcPr>
            <w:tcW w:type="dxa" w:w="3552"/>
          </w:tcPr>
          <w:p>
            <w:r>
              <w:t>Ex. 26:30</w:t>
            </w:r>
          </w:p>
        </w:tc>
        <w:tc>
          <w:tcPr>
            <w:tcW w:type="dxa" w:w="3552"/>
          </w:tcPr>
          <w:p>
            <w:r>
              <w:t>fashion/pattern</w:t>
            </w:r>
          </w:p>
        </w:tc>
        <w:tc>
          <w:tcPr>
            <w:tcW w:type="dxa" w:w="3552"/>
          </w:tcPr>
          <w:p>
            <w:r>
              <w:t>Again erected according to mountain revelation.</w:t>
            </w:r>
          </w:p>
        </w:tc>
      </w:tr>
      <w:tr>
        <w:tc>
          <w:tcPr>
            <w:tcW w:type="dxa" w:w="3552"/>
          </w:tcPr>
          <w:p>
            <w:r>
              <w:t>Ex. 26:31</w:t>
            </w:r>
          </w:p>
        </w:tc>
        <w:tc>
          <w:tcPr>
            <w:tcW w:type="dxa" w:w="3552"/>
          </w:tcPr>
          <w:p>
            <w:r>
              <w:t>paroketh</w:t>
            </w:r>
          </w:p>
        </w:tc>
        <w:tc>
          <w:tcPr>
            <w:tcW w:type="dxa" w:w="3552"/>
          </w:tcPr>
          <w:p>
            <w:r>
              <w:t>Inner veil separating Holy and Most Holy.</w:t>
            </w:r>
          </w:p>
        </w:tc>
      </w:tr>
      <w:tr>
        <w:tc>
          <w:tcPr>
            <w:tcW w:type="dxa" w:w="3552"/>
          </w:tcPr>
          <w:p>
            <w:r>
              <w:t>Heb. 9:3</w:t>
            </w:r>
          </w:p>
        </w:tc>
        <w:tc>
          <w:tcPr>
            <w:tcW w:type="dxa" w:w="3552"/>
          </w:tcPr>
          <w:p>
            <w:r>
              <w:t>second veil</w:t>
            </w:r>
          </w:p>
        </w:tc>
        <w:tc>
          <w:tcPr>
            <w:tcW w:type="dxa" w:w="3552"/>
          </w:tcPr>
          <w:p>
            <w:r>
              <w:t>Confirms inner sanctuary division.</w:t>
            </w:r>
          </w:p>
        </w:tc>
      </w:tr>
      <w:tr>
        <w:tc>
          <w:tcPr>
            <w:tcW w:type="dxa" w:w="3552"/>
          </w:tcPr>
          <w:p>
            <w:r>
              <w:t>Heb. 10:19–20</w:t>
            </w:r>
          </w:p>
        </w:tc>
        <w:tc>
          <w:tcPr>
            <w:tcW w:type="dxa" w:w="3552"/>
          </w:tcPr>
          <w:p>
            <w:r>
              <w:t>veil = flesh typology</w:t>
            </w:r>
          </w:p>
        </w:tc>
        <w:tc>
          <w:tcPr>
            <w:tcW w:type="dxa" w:w="3552"/>
          </w:tcPr>
          <w:p>
            <w:r>
              <w:t>Explicit apostolic Christological application.</w:t>
            </w:r>
          </w:p>
        </w:tc>
      </w:tr>
      <w:tr>
        <w:tc>
          <w:tcPr>
            <w:tcW w:type="dxa" w:w="3552"/>
          </w:tcPr>
          <w:p>
            <w:r>
              <w:t>Ex. 26:36</w:t>
            </w:r>
          </w:p>
        </w:tc>
        <w:tc>
          <w:tcPr>
            <w:tcW w:type="dxa" w:w="3552"/>
          </w:tcPr>
          <w:p>
            <w:r>
              <w:t>masak</w:t>
            </w:r>
          </w:p>
        </w:tc>
        <w:tc>
          <w:tcPr>
            <w:tcW w:type="dxa" w:w="3552"/>
          </w:tcPr>
          <w:p>
            <w:r>
              <w:t>Entrance screen/hanging, distinct from paroketh.</w:t>
            </w:r>
          </w:p>
        </w:tc>
      </w:tr>
      <w:tr>
        <w:tc>
          <w:tcPr>
            <w:tcW w:type="dxa" w:w="3552"/>
          </w:tcPr>
          <w:p>
            <w:r>
              <w:t>Ex. 26:37</w:t>
            </w:r>
          </w:p>
        </w:tc>
        <w:tc>
          <w:tcPr>
            <w:tcW w:type="dxa" w:w="3552"/>
          </w:tcPr>
          <w:p>
            <w:r>
              <w:t>nechosheth sockets</w:t>
            </w:r>
          </w:p>
        </w:tc>
        <w:tc>
          <w:tcPr>
            <w:tcW w:type="dxa" w:w="3552"/>
          </w:tcPr>
          <w:p>
            <w:r>
              <w:t>Copper/bronze, not modern brass.</w:t>
            </w:r>
          </w:p>
        </w:tc>
      </w:tr>
    </w:tbl>
    <w:p>
      <w:pPr>
        <w:pStyle w:val="Heading1"/>
      </w:pPr>
      <w:r>
        <w:t>RESIDUAL UNCERTAINTIES</w:t>
      </w:r>
    </w:p>
    <w:p>
      <w:pPr/>
      <w:r>
        <w:t>The exact physical form of the qerashim—solid boards or framed members—is debated, and tachash remains unidentified. Mansfield’s symbolism of every colour, socket and covering is preserved only as typological exposition. The distinctions among mishkan, ohel, paroketh and masak are secure and should be retained.</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