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EXODUS 27</w:t>
      </w:r>
    </w:p>
    <w:p>
      <w:pPr>
        <w:pStyle w:val="Subtitle"/>
      </w:pPr>
      <w:r>
        <w:t>THE BRAZEN ALTAR • THE COURT • THE APPOINTED GATE • PINS AND SOCKETS • PURE BEATEN OIL • CONTINUAL LIGHT</w:t>
      </w:r>
    </w:p>
    <w:p>
      <w:pPr/>
      <w:r>
        <w:rPr>
          <w:i/>
        </w:rPr>
        <w:t>H. P. Mansfield Bible notes — checked and arranged in verse-by-verse Expositor style</w:t>
      </w:r>
    </w:p>
    <w:p>
      <w:pPr/>
      <w:r>
        <w:rPr>
          <w:i w:val="0"/>
        </w:rPr>
        <w:t>Source: HPB 02-Gen42-Lev11.pdf, principally Exodus 27 photographed pages 60–61</w:t>
      </w:r>
    </w:p>
    <w:p>
      <w:pPr>
        <w:pStyle w:val="Heading1"/>
      </w:pPr>
      <w:r>
        <w:t>CHAPTER OVERVIEW</w:t>
      </w:r>
    </w:p>
    <w:p>
      <w:pPr/>
      <w:r>
        <w:rPr>
          <w:i w:val="0"/>
        </w:rPr>
        <w:t>Exodus 27 moves outward from the inner sanctuary to the altar, court and gate, then returns to the continual lamp service. From the worshipper’s perspective the altar stands at the beginning of approach: sacrifice precedes entry into the ordered sanctuary life.</w:t>
      </w:r>
    </w:p>
    <w:p>
      <w:pPr/>
      <w:r>
        <w:rPr>
          <w:i w:val="0"/>
        </w:rPr>
        <w:t>The chapter also gives weight to apparently ordinary details—sockets, pegs, utensils and lamp oil. Mansfield’s observation is useful: the stability and continuity of the whole dwelling depend on humble elements as well as prominent furniture.</w:t>
      </w:r>
    </w:p>
    <w:p>
      <w:pPr>
        <w:pStyle w:val="Heading1"/>
      </w:pPr>
      <w:r>
        <w:t>THE ALTAR OF BURNT OFFERING — EXODUS 27:1–8</w:t>
      </w:r>
    </w:p>
    <w:p>
      <w:pPr>
        <w:pStyle w:val="Heading2"/>
      </w:pPr>
      <w:r>
        <w:t>Exodus 27:1–2 — altar and horns</w:t>
      </w:r>
    </w:p>
    <w:p>
      <w:pPr/>
      <w:r>
        <w:rPr>
          <w:i w:val="0"/>
        </w:rPr>
        <w:t>The mizbeach, altar, is made of acacia wood, five cubits square and three high, overlaid with nechosheth, copper/bronze. The four qarnoth, horns, are integral with it.</w:t>
      </w:r>
    </w:p>
    <w:p>
      <w:pPr/>
      <w:r>
        <w:rPr>
          <w:i w:val="0"/>
        </w:rPr>
        <w:t>Horns can symbolise strength in later biblical poetry, but here they are first literal projecting parts of the altar. Mansfield’s strength/salvation application is typological.</w:t>
      </w:r>
    </w:p>
    <w:p>
      <w:pPr>
        <w:pStyle w:val="Heading2"/>
      </w:pPr>
      <w:r>
        <w:t>Exodus 27:3–5 — utensils and bronze grating</w:t>
      </w:r>
    </w:p>
    <w:p>
      <w:pPr/>
      <w:r>
        <w:rPr>
          <w:i w:val="0"/>
        </w:rPr>
        <w:t>Pans, shovels, basins, forks and firepans belong to the ordered sacrificial service. A bronze makber, grating/network, is fitted with rings and positioned below the altar ledge/compass.</w:t>
      </w:r>
    </w:p>
    <w:p>
      <w:pPr/>
      <w:r>
        <w:rPr>
          <w:i w:val="0"/>
        </w:rPr>
        <w:t>The exact engineering relationship of grating and altar ledge is reconstructed differently, so the measurements should be preserved without dogmatic diagrams.</w:t>
      </w:r>
    </w:p>
    <w:p>
      <w:pPr>
        <w:pStyle w:val="Heading2"/>
      </w:pPr>
      <w:r>
        <w:t>Exodus 27:6–8 — portable and hollow</w:t>
      </w:r>
    </w:p>
    <w:p>
      <w:pPr/>
      <w:r>
        <w:rPr>
          <w:i w:val="0"/>
        </w:rPr>
        <w:t>Acacia staves overlaid with bronze are fitted for carrying. The altar is nevuv luchoth, hollow with boards/planks, and must be made exactly as shown to Moses in the mount.</w:t>
      </w:r>
    </w:p>
    <w:p>
      <w:pPr>
        <w:pStyle w:val="Heading1"/>
      </w:pPr>
      <w:r>
        <w:t>THE COURT AND ITS GATE — EXODUS 27:9–19</w:t>
      </w:r>
    </w:p>
    <w:p>
      <w:pPr>
        <w:pStyle w:val="Heading2"/>
      </w:pPr>
      <w:r>
        <w:t>Exodus 27:9–15 — fine linen enclosure</w:t>
      </w:r>
    </w:p>
    <w:p>
      <w:pPr/>
      <w:r>
        <w:rPr>
          <w:i w:val="0"/>
        </w:rPr>
        <w:t>The chatser, court, is enclosed by fine twisted linen hangings supported on pillars. Bronze/copper sockets stand at ground level while hooks and connecting bands are silver.</w:t>
      </w:r>
    </w:p>
    <w:p>
      <w:pPr/>
      <w:r>
        <w:rPr>
          <w:i w:val="0"/>
        </w:rPr>
        <w:t>Mansfield’s white-linen righteousness, bronze judgment and silver redemption symbolism are coherent typology, but the literal text primarily describes materials and ordered enclosure.</w:t>
      </w:r>
    </w:p>
    <w:p>
      <w:pPr>
        <w:pStyle w:val="Heading2"/>
      </w:pPr>
      <w:r>
        <w:t>Exodus 27:16 — one appointed entrance</w:t>
      </w:r>
    </w:p>
    <w:p>
      <w:pPr/>
      <w:r>
        <w:rPr>
          <w:i w:val="0"/>
        </w:rPr>
        <w:t>The twenty-cubit gate has a masak, embroidered screen in blue, purple, scarlet and fine linen, supported by four pillars. The entrance is broad relative to the court wall but remains one appointed opening.</w:t>
      </w:r>
    </w:p>
    <w:p>
      <w:pPr/>
      <w:r>
        <w:rPr>
          <w:i w:val="0"/>
        </w:rPr>
        <w:t>Invited access and exclusive route can both be true: the sanctuary is not sealed against worshippers, yet one does not enter anywhere according to personal preference.</w:t>
      </w:r>
    </w:p>
    <w:p>
      <w:pPr>
        <w:pStyle w:val="Heading2"/>
      </w:pPr>
      <w:r>
        <w:t>Exodus 27:17–19 — fittings and pegs</w:t>
      </w:r>
    </w:p>
    <w:p>
      <w:pPr/>
      <w:r>
        <w:rPr>
          <w:i w:val="0"/>
        </w:rPr>
        <w:t>All the court’s fittings follow the same ordered material scheme. The yethadoth are pegs/pins used for tabernacle and court stability and are bronze/copper.</w:t>
      </w:r>
    </w:p>
    <w:p>
      <w:pPr/>
      <w:r>
        <w:rPr>
          <w:i w:val="0"/>
        </w:rPr>
        <w:t>The text itself does not describe cords here, though cords are naturally associated with tent pegs elsewhere. Mansfield’s “pins and cords” lesson is therefore a practical application rather than the wording of this verse.</w:t>
      </w:r>
    </w:p>
    <w:p>
      <w:pPr>
        <w:pStyle w:val="Heading1"/>
      </w:pPr>
      <w:r>
        <w:t>PURE OIL AND CONTINUAL LIGHT — EXODUS 27:20–21</w:t>
      </w:r>
    </w:p>
    <w:p>
      <w:pPr>
        <w:pStyle w:val="Heading2"/>
      </w:pPr>
      <w:r>
        <w:t>Exodus 27:20 — pure beaten olive oil</w:t>
      </w:r>
    </w:p>
    <w:p>
      <w:pPr/>
      <w:r>
        <w:rPr>
          <w:i w:val="0"/>
        </w:rPr>
        <w:t>Israel must bring shemen zayit zakh kathith, pure beaten olive oil, for the light. “Beaten” refers to the preparation of the oil, producing a clean high-quality fuel for sanctuary illumination.</w:t>
      </w:r>
    </w:p>
    <w:p>
      <w:pPr/>
      <w:r>
        <w:rPr>
          <w:i w:val="0"/>
        </w:rPr>
        <w:t>Oil symbolism as Spirit/Word is typological; the literal requirement is purity and suitability for the lamp.</w:t>
      </w:r>
    </w:p>
    <w:p>
      <w:pPr>
        <w:pStyle w:val="Heading2"/>
      </w:pPr>
      <w:r>
        <w:t>Exodus 27:21 — tended from evening to morning</w:t>
      </w:r>
    </w:p>
    <w:p>
      <w:pPr/>
      <w:r>
        <w:rPr>
          <w:i w:val="0"/>
        </w:rPr>
        <w:t>Aaron and his sons arrange/tend the lamp in the Tent of Meeting outside the veil, “from evening to morning” before Yahweh. Tamid, continually/regularly, means the service is perpetually maintained as an ordinance; the verse itself describes the active burning/tending period as evening to morning.</w:t>
      </w:r>
    </w:p>
    <w:p>
      <w:pPr/>
      <w:r>
        <w:rPr>
          <w:i w:val="0"/>
        </w:rPr>
        <w:t>Leviticus 24:1–4 later repeats the lamp-oil and tending instructions. Continual light therefore depends on continual priestly attention rather than being self-maintaining.</w:t>
      </w:r>
    </w:p>
    <w:p>
      <w:pPr>
        <w:pStyle w:val="Heading1"/>
      </w:pPr>
      <w:r>
        <w:t>APPROACH, SEPARATION AND LIGHT</w:t>
      </w:r>
    </w:p>
    <w:p>
      <w:pPr>
        <w:pStyle w:val="Heading2"/>
      </w:pPr>
      <w:r>
        <w:t>The chapter’s movement</w:t>
      </w:r>
    </w:p>
    <w:p>
      <w:pPr/>
      <w:r>
        <w:rPr>
          <w:i w:val="0"/>
        </w:rPr>
        <w:t>From the worshipper’s side, sacrifice at the altar, entry through the appointed gate, separation within the court and sustained Divine light together form the chapter’s practical theology of approach.</w:t>
      </w:r>
    </w:p>
    <w:p>
      <w:pPr>
        <w:pStyle w:val="Heading1"/>
      </w:pPr>
      <w:r>
        <w:t>PRINCIPAL THEMES</w:t>
      </w:r>
    </w:p>
    <w:p>
      <w:pPr>
        <w:ind w:left="259" w:hanging="202"/>
      </w:pPr>
      <w:r>
        <w:rPr>
          <w:b/>
        </w:rPr>
        <w:t xml:space="preserve">• </w:t>
      </w:r>
      <w:r>
        <w:t>Sacrificial approach begins at the altar Yahweh appoints.</w:t>
      </w:r>
    </w:p>
    <w:p>
      <w:pPr>
        <w:ind w:left="259" w:hanging="202"/>
      </w:pPr>
      <w:r>
        <w:rPr>
          <w:b/>
        </w:rPr>
        <w:t xml:space="preserve">• </w:t>
      </w:r>
      <w:r>
        <w:t>KJV “brass” in the sanctuary is copper/bronze, not modern brass.</w:t>
      </w:r>
    </w:p>
    <w:p>
      <w:pPr>
        <w:ind w:left="259" w:hanging="202"/>
      </w:pPr>
      <w:r>
        <w:rPr>
          <w:b/>
        </w:rPr>
        <w:t xml:space="preserve">• </w:t>
      </w:r>
      <w:r>
        <w:t>Strength symbolism of altar horns is secondary to their literal altar function.</w:t>
      </w:r>
    </w:p>
    <w:p>
      <w:pPr>
        <w:ind w:left="259" w:hanging="202"/>
      </w:pPr>
      <w:r>
        <w:rPr>
          <w:b/>
        </w:rPr>
        <w:t xml:space="preserve">• </w:t>
      </w:r>
      <w:r>
        <w:t>The court separates holy space while providing a clear appointed gate.</w:t>
      </w:r>
    </w:p>
    <w:p>
      <w:pPr>
        <w:ind w:left="259" w:hanging="202"/>
      </w:pPr>
      <w:r>
        <w:rPr>
          <w:b/>
        </w:rPr>
        <w:t xml:space="preserve">• </w:t>
      </w:r>
      <w:r>
        <w:t>Small structural fittings are necessary to the stability of the whole.</w:t>
      </w:r>
    </w:p>
    <w:p>
      <w:pPr>
        <w:ind w:left="259" w:hanging="202"/>
      </w:pPr>
      <w:r>
        <w:rPr>
          <w:b/>
        </w:rPr>
        <w:t xml:space="preserve">• </w:t>
      </w:r>
      <w:r>
        <w:t>Pure oil is deliberately prepared for holy illumination.</w:t>
      </w:r>
    </w:p>
    <w:p>
      <w:pPr>
        <w:ind w:left="259" w:hanging="202"/>
      </w:pPr>
      <w:r>
        <w:rPr>
          <w:b/>
        </w:rPr>
        <w:t xml:space="preserve">• </w:t>
      </w:r>
      <w:r>
        <w:t>Continual light requires continual priestly care.</w:t>
      </w:r>
    </w:p>
    <w:p>
      <w:pPr>
        <w:ind w:left="259" w:hanging="202"/>
      </w:pPr>
      <w:r>
        <w:rPr>
          <w:b/>
        </w:rPr>
        <w:t xml:space="preserve">• </w:t>
      </w:r>
      <w:r>
        <w:t>Every part remains portable and subject to the mountain pattern.</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6"/>
              </w:rPr>
              <w:t>Location</w:t>
            </w:r>
          </w:p>
        </w:tc>
        <w:tc>
          <w:tcPr>
            <w:tcW w:type="dxa" w:w="3561"/>
          </w:tcPr>
          <w:p>
            <w:r>
              <w:rPr>
                <w:rFonts w:ascii="Arial" w:hAnsi="Arial"/>
                <w:b/>
                <w:sz w:val="16"/>
              </w:rPr>
              <w:t>Checked / corrected reading</w:t>
            </w:r>
          </w:p>
        </w:tc>
        <w:tc>
          <w:tcPr>
            <w:tcW w:type="dxa" w:w="3561"/>
          </w:tcPr>
          <w:p>
            <w:r>
              <w:rPr>
                <w:rFonts w:ascii="Arial" w:hAnsi="Arial"/>
                <w:b/>
                <w:sz w:val="16"/>
              </w:rPr>
              <w:t>Basis</w:t>
            </w:r>
          </w:p>
        </w:tc>
      </w:tr>
      <w:tr>
        <w:tc>
          <w:tcPr>
            <w:tcW w:type="dxa" w:w="3561"/>
            <w:vAlign w:val="top"/>
          </w:tcPr>
          <w:p>
            <w:pPr>
              <w:spacing w:after="0"/>
            </w:pPr>
            <w:r>
              <w:rPr>
                <w:rFonts w:ascii="Times New Roman" w:hAnsi="Times New Roman"/>
                <w:sz w:val="14"/>
              </w:rPr>
              <w:t>Ex. 27:1</w:t>
            </w:r>
          </w:p>
        </w:tc>
        <w:tc>
          <w:tcPr>
            <w:tcW w:type="dxa" w:w="3561"/>
            <w:vAlign w:val="top"/>
          </w:tcPr>
          <w:p>
            <w:pPr>
              <w:spacing w:after="0"/>
            </w:pPr>
            <w:r>
              <w:rPr>
                <w:rFonts w:ascii="Times New Roman" w:hAnsi="Times New Roman"/>
                <w:sz w:val="14"/>
              </w:rPr>
              <w:t>mizbeach</w:t>
            </w:r>
          </w:p>
        </w:tc>
        <w:tc>
          <w:tcPr>
            <w:tcW w:type="dxa" w:w="3561"/>
            <w:vAlign w:val="top"/>
          </w:tcPr>
          <w:p>
            <w:pPr>
              <w:spacing w:after="0"/>
            </w:pPr>
            <w:r>
              <w:rPr>
                <w:rFonts w:ascii="Times New Roman" w:hAnsi="Times New Roman"/>
                <w:sz w:val="14"/>
              </w:rPr>
              <w:t>Altar; specifically used for burnt offerings in subsequent sanctuary service.</w:t>
            </w:r>
          </w:p>
        </w:tc>
      </w:tr>
      <w:tr>
        <w:tc>
          <w:tcPr>
            <w:tcW w:type="dxa" w:w="3561"/>
            <w:vAlign w:val="top"/>
          </w:tcPr>
          <w:p>
            <w:pPr>
              <w:spacing w:after="0"/>
            </w:pPr>
            <w:r>
              <w:rPr>
                <w:rFonts w:ascii="Times New Roman" w:hAnsi="Times New Roman"/>
                <w:sz w:val="14"/>
              </w:rPr>
              <w:t>Ex. 27:2</w:t>
            </w:r>
          </w:p>
        </w:tc>
        <w:tc>
          <w:tcPr>
            <w:tcW w:type="dxa" w:w="3561"/>
            <w:vAlign w:val="top"/>
          </w:tcPr>
          <w:p>
            <w:pPr>
              <w:spacing w:after="0"/>
            </w:pPr>
            <w:r>
              <w:rPr>
                <w:rFonts w:ascii="Times New Roman" w:hAnsi="Times New Roman"/>
                <w:sz w:val="14"/>
              </w:rPr>
              <w:t>nechosheth</w:t>
            </w:r>
          </w:p>
        </w:tc>
        <w:tc>
          <w:tcPr>
            <w:tcW w:type="dxa" w:w="3561"/>
            <w:vAlign w:val="top"/>
          </w:tcPr>
          <w:p>
            <w:pPr>
              <w:spacing w:after="0"/>
            </w:pPr>
            <w:r>
              <w:rPr>
                <w:rFonts w:ascii="Times New Roman" w:hAnsi="Times New Roman"/>
                <w:sz w:val="14"/>
              </w:rPr>
              <w:t>Copper/bronze, not modern brass.</w:t>
            </w:r>
          </w:p>
        </w:tc>
      </w:tr>
      <w:tr>
        <w:tc>
          <w:tcPr>
            <w:tcW w:type="dxa" w:w="3561"/>
            <w:vAlign w:val="top"/>
          </w:tcPr>
          <w:p>
            <w:pPr>
              <w:spacing w:after="0"/>
            </w:pPr>
            <w:r>
              <w:rPr>
                <w:rFonts w:ascii="Times New Roman" w:hAnsi="Times New Roman"/>
                <w:sz w:val="14"/>
              </w:rPr>
              <w:t>Ex. 27:2</w:t>
            </w:r>
          </w:p>
        </w:tc>
        <w:tc>
          <w:tcPr>
            <w:tcW w:type="dxa" w:w="3561"/>
            <w:vAlign w:val="top"/>
          </w:tcPr>
          <w:p>
            <w:pPr>
              <w:spacing w:after="0"/>
            </w:pPr>
            <w:r>
              <w:rPr>
                <w:rFonts w:ascii="Times New Roman" w:hAnsi="Times New Roman"/>
                <w:sz w:val="14"/>
              </w:rPr>
              <w:t>qarnoth</w:t>
            </w:r>
          </w:p>
        </w:tc>
        <w:tc>
          <w:tcPr>
            <w:tcW w:type="dxa" w:w="3561"/>
            <w:vAlign w:val="top"/>
          </w:tcPr>
          <w:p>
            <w:pPr>
              <w:spacing w:after="0"/>
            </w:pPr>
            <w:r>
              <w:rPr>
                <w:rFonts w:ascii="Times New Roman" w:hAnsi="Times New Roman"/>
                <w:sz w:val="14"/>
              </w:rPr>
              <w:t>Horns/projections; later strength symbolism secondary.</w:t>
            </w:r>
          </w:p>
        </w:tc>
      </w:tr>
      <w:tr>
        <w:tc>
          <w:tcPr>
            <w:tcW w:type="dxa" w:w="3561"/>
            <w:vAlign w:val="top"/>
          </w:tcPr>
          <w:p>
            <w:pPr>
              <w:spacing w:after="0"/>
            </w:pPr>
            <w:r>
              <w:rPr>
                <w:rFonts w:ascii="Times New Roman" w:hAnsi="Times New Roman"/>
                <w:sz w:val="14"/>
              </w:rPr>
              <w:t>Ex. 27:4</w:t>
            </w:r>
          </w:p>
        </w:tc>
        <w:tc>
          <w:tcPr>
            <w:tcW w:type="dxa" w:w="3561"/>
            <w:vAlign w:val="top"/>
          </w:tcPr>
          <w:p>
            <w:pPr>
              <w:spacing w:after="0"/>
            </w:pPr>
            <w:r>
              <w:rPr>
                <w:rFonts w:ascii="Times New Roman" w:hAnsi="Times New Roman"/>
                <w:sz w:val="14"/>
              </w:rPr>
              <w:t>makber / resheth</w:t>
            </w:r>
          </w:p>
        </w:tc>
        <w:tc>
          <w:tcPr>
            <w:tcW w:type="dxa" w:w="3561"/>
            <w:vAlign w:val="top"/>
          </w:tcPr>
          <w:p>
            <w:pPr>
              <w:spacing w:after="0"/>
            </w:pPr>
            <w:r>
              <w:rPr>
                <w:rFonts w:ascii="Times New Roman" w:hAnsi="Times New Roman"/>
                <w:sz w:val="14"/>
              </w:rPr>
              <w:t>Grating/network; exact engineering reconstruction debated.</w:t>
            </w:r>
          </w:p>
        </w:tc>
      </w:tr>
      <w:tr>
        <w:tc>
          <w:tcPr>
            <w:tcW w:type="dxa" w:w="3561"/>
            <w:vAlign w:val="top"/>
          </w:tcPr>
          <w:p>
            <w:pPr>
              <w:spacing w:after="0"/>
            </w:pPr>
            <w:r>
              <w:rPr>
                <w:rFonts w:ascii="Times New Roman" w:hAnsi="Times New Roman"/>
                <w:sz w:val="14"/>
              </w:rPr>
              <w:t>Ex. 27:8</w:t>
            </w:r>
          </w:p>
        </w:tc>
        <w:tc>
          <w:tcPr>
            <w:tcW w:type="dxa" w:w="3561"/>
            <w:vAlign w:val="top"/>
          </w:tcPr>
          <w:p>
            <w:pPr>
              <w:spacing w:after="0"/>
            </w:pPr>
            <w:r>
              <w:rPr>
                <w:rFonts w:ascii="Times New Roman" w:hAnsi="Times New Roman"/>
                <w:sz w:val="14"/>
              </w:rPr>
              <w:t>nevuv luchoth</w:t>
            </w:r>
          </w:p>
        </w:tc>
        <w:tc>
          <w:tcPr>
            <w:tcW w:type="dxa" w:w="3561"/>
            <w:vAlign w:val="top"/>
          </w:tcPr>
          <w:p>
            <w:pPr>
              <w:spacing w:after="0"/>
            </w:pPr>
            <w:r>
              <w:rPr>
                <w:rFonts w:ascii="Times New Roman" w:hAnsi="Times New Roman"/>
                <w:sz w:val="14"/>
              </w:rPr>
              <w:t>Hollow with boards/planks.</w:t>
            </w:r>
          </w:p>
        </w:tc>
      </w:tr>
      <w:tr>
        <w:tc>
          <w:tcPr>
            <w:tcW w:type="dxa" w:w="3561"/>
            <w:vAlign w:val="top"/>
          </w:tcPr>
          <w:p>
            <w:pPr>
              <w:spacing w:after="0"/>
            </w:pPr>
            <w:r>
              <w:rPr>
                <w:rFonts w:ascii="Times New Roman" w:hAnsi="Times New Roman"/>
                <w:sz w:val="14"/>
              </w:rPr>
              <w:t>Ex. 27:9</w:t>
            </w:r>
          </w:p>
        </w:tc>
        <w:tc>
          <w:tcPr>
            <w:tcW w:type="dxa" w:w="3561"/>
            <w:vAlign w:val="top"/>
          </w:tcPr>
          <w:p>
            <w:pPr>
              <w:spacing w:after="0"/>
            </w:pPr>
            <w:r>
              <w:rPr>
                <w:rFonts w:ascii="Times New Roman" w:hAnsi="Times New Roman"/>
                <w:sz w:val="14"/>
              </w:rPr>
              <w:t>chatser</w:t>
            </w:r>
          </w:p>
        </w:tc>
        <w:tc>
          <w:tcPr>
            <w:tcW w:type="dxa" w:w="3561"/>
            <w:vAlign w:val="top"/>
          </w:tcPr>
          <w:p>
            <w:pPr>
              <w:spacing w:after="0"/>
            </w:pPr>
            <w:r>
              <w:rPr>
                <w:rFonts w:ascii="Times New Roman" w:hAnsi="Times New Roman"/>
                <w:sz w:val="14"/>
              </w:rPr>
              <w:t>Court/enclosed courtyard.</w:t>
            </w:r>
          </w:p>
        </w:tc>
      </w:tr>
      <w:tr>
        <w:tc>
          <w:tcPr>
            <w:tcW w:type="dxa" w:w="3561"/>
            <w:vAlign w:val="top"/>
          </w:tcPr>
          <w:p>
            <w:pPr>
              <w:spacing w:after="0"/>
            </w:pPr>
            <w:r>
              <w:rPr>
                <w:rFonts w:ascii="Times New Roman" w:hAnsi="Times New Roman"/>
                <w:sz w:val="14"/>
              </w:rPr>
              <w:t>Ex. 27:16</w:t>
            </w:r>
          </w:p>
        </w:tc>
        <w:tc>
          <w:tcPr>
            <w:tcW w:type="dxa" w:w="3561"/>
            <w:vAlign w:val="top"/>
          </w:tcPr>
          <w:p>
            <w:pPr>
              <w:spacing w:after="0"/>
            </w:pPr>
            <w:r>
              <w:rPr>
                <w:rFonts w:ascii="Times New Roman" w:hAnsi="Times New Roman"/>
                <w:sz w:val="14"/>
              </w:rPr>
              <w:t>masak</w:t>
            </w:r>
          </w:p>
        </w:tc>
        <w:tc>
          <w:tcPr>
            <w:tcW w:type="dxa" w:w="3561"/>
            <w:vAlign w:val="top"/>
          </w:tcPr>
          <w:p>
            <w:pPr>
              <w:spacing w:after="0"/>
            </w:pPr>
            <w:r>
              <w:rPr>
                <w:rFonts w:ascii="Times New Roman" w:hAnsi="Times New Roman"/>
                <w:sz w:val="14"/>
              </w:rPr>
              <w:t>Entrance screen/hanging.</w:t>
            </w:r>
          </w:p>
        </w:tc>
      </w:tr>
      <w:tr>
        <w:tc>
          <w:tcPr>
            <w:tcW w:type="dxa" w:w="3561"/>
            <w:vAlign w:val="top"/>
          </w:tcPr>
          <w:p>
            <w:pPr>
              <w:spacing w:after="0"/>
            </w:pPr>
            <w:r>
              <w:rPr>
                <w:rFonts w:ascii="Times New Roman" w:hAnsi="Times New Roman"/>
                <w:sz w:val="14"/>
              </w:rPr>
              <w:t>Ex. 27:16</w:t>
            </w:r>
          </w:p>
        </w:tc>
        <w:tc>
          <w:tcPr>
            <w:tcW w:type="dxa" w:w="3561"/>
            <w:vAlign w:val="top"/>
          </w:tcPr>
          <w:p>
            <w:pPr>
              <w:spacing w:after="0"/>
            </w:pPr>
            <w:r>
              <w:rPr>
                <w:rFonts w:ascii="Times New Roman" w:hAnsi="Times New Roman"/>
                <w:sz w:val="14"/>
              </w:rPr>
              <w:t>20-cubit gate</w:t>
            </w:r>
          </w:p>
        </w:tc>
        <w:tc>
          <w:tcPr>
            <w:tcW w:type="dxa" w:w="3561"/>
            <w:vAlign w:val="top"/>
          </w:tcPr>
          <w:p>
            <w:pPr>
              <w:spacing w:after="0"/>
            </w:pPr>
            <w:r>
              <w:rPr>
                <w:rFonts w:ascii="Times New Roman" w:hAnsi="Times New Roman"/>
                <w:sz w:val="14"/>
              </w:rPr>
              <w:t>Defined appointed access through court enclosure.</w:t>
            </w:r>
          </w:p>
        </w:tc>
      </w:tr>
      <w:tr>
        <w:tc>
          <w:tcPr>
            <w:tcW w:type="dxa" w:w="3561"/>
            <w:vAlign w:val="top"/>
          </w:tcPr>
          <w:p>
            <w:pPr>
              <w:spacing w:after="0"/>
            </w:pPr>
            <w:r>
              <w:rPr>
                <w:rFonts w:ascii="Times New Roman" w:hAnsi="Times New Roman"/>
                <w:sz w:val="14"/>
              </w:rPr>
              <w:t>Ex. 27:19</w:t>
            </w:r>
          </w:p>
        </w:tc>
        <w:tc>
          <w:tcPr>
            <w:tcW w:type="dxa" w:w="3561"/>
            <w:vAlign w:val="top"/>
          </w:tcPr>
          <w:p>
            <w:pPr>
              <w:spacing w:after="0"/>
            </w:pPr>
            <w:r>
              <w:rPr>
                <w:rFonts w:ascii="Times New Roman" w:hAnsi="Times New Roman"/>
                <w:sz w:val="14"/>
              </w:rPr>
              <w:t>yethadoth</w:t>
            </w:r>
          </w:p>
        </w:tc>
        <w:tc>
          <w:tcPr>
            <w:tcW w:type="dxa" w:w="3561"/>
            <w:vAlign w:val="top"/>
          </w:tcPr>
          <w:p>
            <w:pPr>
              <w:spacing w:after="0"/>
            </w:pPr>
            <w:r>
              <w:rPr>
                <w:rFonts w:ascii="Times New Roman" w:hAnsi="Times New Roman"/>
                <w:sz w:val="14"/>
              </w:rPr>
              <w:t>Pegs/pins; cords not named in this verse.</w:t>
            </w:r>
          </w:p>
        </w:tc>
      </w:tr>
      <w:tr>
        <w:tc>
          <w:tcPr>
            <w:tcW w:type="dxa" w:w="3561"/>
            <w:vAlign w:val="top"/>
          </w:tcPr>
          <w:p>
            <w:pPr>
              <w:spacing w:after="0"/>
            </w:pPr>
            <w:r>
              <w:rPr>
                <w:rFonts w:ascii="Times New Roman" w:hAnsi="Times New Roman"/>
                <w:sz w:val="14"/>
              </w:rPr>
              <w:t>Ex. 27:20</w:t>
            </w:r>
          </w:p>
        </w:tc>
        <w:tc>
          <w:tcPr>
            <w:tcW w:type="dxa" w:w="3561"/>
            <w:vAlign w:val="top"/>
          </w:tcPr>
          <w:p>
            <w:pPr>
              <w:spacing w:after="0"/>
            </w:pPr>
            <w:r>
              <w:rPr>
                <w:rFonts w:ascii="Times New Roman" w:hAnsi="Times New Roman"/>
                <w:sz w:val="14"/>
              </w:rPr>
              <w:t>shemen zayit zakh kathith</w:t>
            </w:r>
          </w:p>
        </w:tc>
        <w:tc>
          <w:tcPr>
            <w:tcW w:type="dxa" w:w="3561"/>
            <w:vAlign w:val="top"/>
          </w:tcPr>
          <w:p>
            <w:pPr>
              <w:spacing w:after="0"/>
            </w:pPr>
            <w:r>
              <w:rPr>
                <w:rFonts w:ascii="Times New Roman" w:hAnsi="Times New Roman"/>
                <w:sz w:val="14"/>
              </w:rPr>
              <w:t>Pure beaten olive oil.</w:t>
            </w:r>
          </w:p>
        </w:tc>
      </w:tr>
      <w:tr>
        <w:tc>
          <w:tcPr>
            <w:tcW w:type="dxa" w:w="3561"/>
            <w:vAlign w:val="top"/>
          </w:tcPr>
          <w:p>
            <w:pPr>
              <w:spacing w:after="0"/>
            </w:pPr>
            <w:r>
              <w:rPr>
                <w:rFonts w:ascii="Times New Roman" w:hAnsi="Times New Roman"/>
                <w:sz w:val="14"/>
              </w:rPr>
              <w:t>Ex. 27:20–21</w:t>
            </w:r>
          </w:p>
        </w:tc>
        <w:tc>
          <w:tcPr>
            <w:tcW w:type="dxa" w:w="3561"/>
            <w:vAlign w:val="top"/>
          </w:tcPr>
          <w:p>
            <w:pPr>
              <w:spacing w:after="0"/>
            </w:pPr>
            <w:r>
              <w:rPr>
                <w:rFonts w:ascii="Times New Roman" w:hAnsi="Times New Roman"/>
                <w:sz w:val="14"/>
              </w:rPr>
              <w:t>tamid</w:t>
            </w:r>
          </w:p>
        </w:tc>
        <w:tc>
          <w:tcPr>
            <w:tcW w:type="dxa" w:w="3561"/>
            <w:vAlign w:val="top"/>
          </w:tcPr>
          <w:p>
            <w:pPr>
              <w:spacing w:after="0"/>
            </w:pPr>
            <w:r>
              <w:rPr>
                <w:rFonts w:ascii="Times New Roman" w:hAnsi="Times New Roman"/>
                <w:sz w:val="14"/>
              </w:rPr>
              <w:t>Continual/regularly maintained service.</w:t>
            </w:r>
          </w:p>
        </w:tc>
      </w:tr>
      <w:tr>
        <w:tc>
          <w:tcPr>
            <w:tcW w:type="dxa" w:w="3561"/>
            <w:vAlign w:val="top"/>
          </w:tcPr>
          <w:p>
            <w:pPr>
              <w:spacing w:after="0"/>
            </w:pPr>
            <w:r>
              <w:rPr>
                <w:rFonts w:ascii="Times New Roman" w:hAnsi="Times New Roman"/>
                <w:sz w:val="14"/>
              </w:rPr>
              <w:t>Ex. 27:21</w:t>
            </w:r>
          </w:p>
        </w:tc>
        <w:tc>
          <w:tcPr>
            <w:tcW w:type="dxa" w:w="3561"/>
            <w:vAlign w:val="top"/>
          </w:tcPr>
          <w:p>
            <w:pPr>
              <w:spacing w:after="0"/>
            </w:pPr>
            <w:r>
              <w:rPr>
                <w:rFonts w:ascii="Times New Roman" w:hAnsi="Times New Roman"/>
                <w:sz w:val="14"/>
              </w:rPr>
              <w:t>evening to morning</w:t>
            </w:r>
          </w:p>
        </w:tc>
        <w:tc>
          <w:tcPr>
            <w:tcW w:type="dxa" w:w="3561"/>
            <w:vAlign w:val="top"/>
          </w:tcPr>
          <w:p>
            <w:pPr>
              <w:spacing w:after="0"/>
            </w:pPr>
            <w:r>
              <w:rPr>
                <w:rFonts w:ascii="Times New Roman" w:hAnsi="Times New Roman"/>
                <w:sz w:val="14"/>
              </w:rPr>
              <w:t>Specified tending/burning period.</w:t>
            </w:r>
          </w:p>
        </w:tc>
      </w:tr>
      <w:tr>
        <w:tc>
          <w:tcPr>
            <w:tcW w:type="dxa" w:w="3561"/>
            <w:vAlign w:val="top"/>
          </w:tcPr>
          <w:p>
            <w:pPr>
              <w:spacing w:after="0"/>
            </w:pPr>
            <w:r>
              <w:rPr>
                <w:rFonts w:ascii="Times New Roman" w:hAnsi="Times New Roman"/>
                <w:sz w:val="14"/>
              </w:rPr>
              <w:t>Lev. 24:1–4</w:t>
            </w:r>
          </w:p>
        </w:tc>
        <w:tc>
          <w:tcPr>
            <w:tcW w:type="dxa" w:w="3561"/>
            <w:vAlign w:val="top"/>
          </w:tcPr>
          <w:p>
            <w:pPr>
              <w:spacing w:after="0"/>
            </w:pPr>
            <w:r>
              <w:rPr>
                <w:rFonts w:ascii="Times New Roman" w:hAnsi="Times New Roman"/>
                <w:sz w:val="14"/>
              </w:rPr>
              <w:t>parallel lamp law</w:t>
            </w:r>
          </w:p>
        </w:tc>
        <w:tc>
          <w:tcPr>
            <w:tcW w:type="dxa" w:w="3561"/>
            <w:vAlign w:val="top"/>
          </w:tcPr>
          <w:p>
            <w:pPr>
              <w:spacing w:after="0"/>
            </w:pPr>
            <w:r>
              <w:rPr>
                <w:rFonts w:ascii="Times New Roman" w:hAnsi="Times New Roman"/>
                <w:sz w:val="14"/>
              </w:rPr>
              <w:t>Repeats pure oil and continual priestly tending.</w:t>
            </w:r>
          </w:p>
        </w:tc>
      </w:tr>
    </w:tbl>
    <w:p>
      <w:pPr>
        <w:pStyle w:val="Heading1"/>
      </w:pPr>
      <w:r>
        <w:t>RESIDUAL UNCERTAINTIES</w:t>
      </w:r>
    </w:p>
    <w:p>
      <w:pPr/>
      <w:r>
        <w:rPr>
          <w:i w:val="0"/>
        </w:rPr>
        <w:t>The exact mechanical placement of the bronze grating and altar ledge is reconstructed differently. The chapter does not explain every material symbol, and Mansfield’s bronze/linen/silver typology should remain typological. “Continual” light must be read together with the explicit evening-to-morning service language rather than assumed to mean an unattended lamp burning identically at every hour.</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EXODUS 27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4"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6" w:after="16"/>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6" w:after="16"/>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