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28</w:t>
      </w:r>
    </w:p>
    <w:p>
      <w:pPr>
        <w:pStyle w:val="Subtitle"/>
      </w:pPr>
      <w:r>
        <w:t>THE PRIESTLY GARMENTS • EPHOD AND SHOULDER STONES • BREASTPLATE OF JUDGMENT • URIM AND THUMMIM • HOLINESS TO YAHWEH • PRIESTLY MODESTY</w:t>
      </w:r>
    </w:p>
    <w:p>
      <w:pPr/>
      <w:r>
        <w:rPr>
          <w:i/>
        </w:rPr>
        <w:t>H. P. Mansfield Bible notes — checked and arranged in verse-by-verse Expositor style</w:t>
      </w:r>
    </w:p>
    <w:p>
      <w:pPr/>
      <w:r>
        <w:rPr>
          <w:i w:val="0"/>
        </w:rPr>
        <w:t>Source: HPB 02-Gen42-Lev11.pdf, principally Exodus 28 photographed pages 61–63</w:t>
      </w:r>
    </w:p>
    <w:p>
      <w:pPr>
        <w:pStyle w:val="Heading1"/>
      </w:pPr>
      <w:r>
        <w:t>CHAPTER OVERVIEW</w:t>
      </w:r>
    </w:p>
    <w:p>
      <w:pPr/>
      <w:r>
        <w:rPr>
          <w:i w:val="0"/>
        </w:rPr>
        <w:t>Exodus 28 sets apart Aaron and his sons and describes garments “for glory and for beauty.” The clothing is functional theology: the high priest bears Israel’s names on shoulders and heart, carries the judgment of the people before Yahweh, and bears “HOLINESS TO YAHWEH” upon his forehead.</w:t>
      </w:r>
    </w:p>
    <w:p>
      <w:pPr/>
      <w:r>
        <w:rPr>
          <w:i w:val="0"/>
        </w:rPr>
        <w:t>Mansfield’s central representative theme is strong and biblical. More caution is required with the exact modern identification of the gemstones, the mechanism of the Urim and Thummim, and symbolic meanings assigned to every colour or ornament.</w:t>
      </w:r>
    </w:p>
    <w:p>
      <w:pPr>
        <w:pStyle w:val="Heading1"/>
      </w:pPr>
      <w:r>
        <w:t>AARON AND HIS SONS SET APART — EXODUS 28:1–5</w:t>
      </w:r>
    </w:p>
    <w:p>
      <w:pPr>
        <w:pStyle w:val="Heading2"/>
      </w:pPr>
      <w:r>
        <w:t>Exodus 28:1–3 — priesthood and Spirit-given craftsmanship</w:t>
      </w:r>
    </w:p>
    <w:p>
      <w:pPr/>
      <w:r>
        <w:rPr>
          <w:i w:val="0"/>
        </w:rPr>
        <w:t>Aaron, Nadab, Abihu, Eleazar and Ithamar are brought near to minister as priests. Those making the garments are “wise hearted” whom Yahweh has filled with a spirit of wisdom. Sacred craft is therefore treated as God-enabled skill used in obedient service.</w:t>
      </w:r>
    </w:p>
    <w:p>
      <w:pPr/>
      <w:r>
        <w:rPr>
          <w:i w:val="0"/>
        </w:rPr>
        <w:t>The phrase “spirit of wisdom” need not mean inspired verbal revelation in every artisan; it describes Divinely bestowed wisdom/ability appropriate to the appointed task.</w:t>
      </w:r>
    </w:p>
    <w:p>
      <w:pPr>
        <w:pStyle w:val="Heading2"/>
      </w:pPr>
      <w:r>
        <w:t>Exodus 28:4–5 — the principal garments</w:t>
      </w:r>
    </w:p>
    <w:p>
      <w:pPr/>
      <w:r>
        <w:rPr>
          <w:i w:val="0"/>
        </w:rPr>
        <w:t>The breastpiece, ephod, robe, patterned tunic/coat, mitre/turban and girdle/sash are named. Gold, blue, purple, scarlet and fine linen continue the sanctuary material vocabulary.</w:t>
      </w:r>
    </w:p>
    <w:p>
      <w:pPr>
        <w:pStyle w:val="Heading1"/>
      </w:pPr>
      <w:r>
        <w:t>THE EPHOD AND SHOULDER STONES — EXODUS 28:6–14</w:t>
      </w:r>
    </w:p>
    <w:p>
      <w:pPr>
        <w:pStyle w:val="Heading2"/>
      </w:pPr>
      <w:r>
        <w:t>Exodus 28:6–8 — ephod woven as one designed garment</w:t>
      </w:r>
    </w:p>
    <w:p>
      <w:pPr/>
      <w:r>
        <w:rPr>
          <w:i w:val="0"/>
        </w:rPr>
        <w:t>The ephod is made with gold, blue, purple, scarlet and fine linen, joined by shoulder pieces and held by its skilfully woven band. Exact garment reconstruction is uncertain because no complete ancient specimen survives.</w:t>
      </w:r>
    </w:p>
    <w:p>
      <w:pPr>
        <w:pStyle w:val="Heading2"/>
      </w:pPr>
      <w:r>
        <w:t>Exodus 28:9–12 — six names on each shoulder</w:t>
      </w:r>
    </w:p>
    <w:p>
      <w:pPr/>
      <w:r>
        <w:rPr>
          <w:i w:val="0"/>
        </w:rPr>
        <w:t>Two shoham stones, traditionally onyx, are engraved with the twelve tribal names according to birth order, six on each stone. Shoham’s exact mineral identification is not completely certain; “onyx” is traditional.</w:t>
      </w:r>
    </w:p>
    <w:p>
      <w:pPr/>
      <w:r>
        <w:rPr>
          <w:i w:val="0"/>
        </w:rPr>
        <w:t>The stones are “stones of memorial.” Aaron bears Israel’s names on his shoulders before Yahweh. Mansfield’s shoulder-as-strength/responsibility application is a natural biblical metaphor, but the text’s explicit point is memorial representation.</w:t>
      </w:r>
    </w:p>
    <w:p>
      <w:pPr>
        <w:pStyle w:val="Heading2"/>
      </w:pPr>
      <w:r>
        <w:t>Exodus 28:13–14 — gold settings and chains</w:t>
      </w:r>
    </w:p>
    <w:p>
      <w:pPr/>
      <w:r>
        <w:rPr>
          <w:i w:val="0"/>
        </w:rPr>
        <w:t>Gold settings and braided chains secure the memorial stones as part of the ephod. Representation is not casual or detachable; the names are incorporated into the priestly garment.</w:t>
      </w:r>
    </w:p>
    <w:p>
      <w:pPr>
        <w:pStyle w:val="Heading1"/>
      </w:pPr>
      <w:r>
        <w:t>THE BREASTPLATE OF JUDGMENT — EXODUS 28:15–30</w:t>
      </w:r>
    </w:p>
    <w:p>
      <w:pPr>
        <w:pStyle w:val="Heading2"/>
      </w:pPr>
      <w:r>
        <w:t>Exodus 28:15–21 — twelve engraved stones</w:t>
      </w:r>
    </w:p>
    <w:p>
      <w:pPr/>
      <w:r>
        <w:rPr>
          <w:i w:val="0"/>
        </w:rPr>
        <w:t>The choshen mishpat, breastpiece/breastplate of judgment, is square and doubled, made with the same skilled materials as the ephod. Twelve stones in four rows are engraved with the tribal names.</w:t>
      </w:r>
    </w:p>
    <w:p>
      <w:pPr/>
      <w:r>
        <w:rPr>
          <w:i w:val="0"/>
        </w:rPr>
        <w:t>Many ancient gemstone names—such as odem, pitdah, bareqeth, leshem, shevo, achlamah and others—cannot be matched with complete certainty to modern mineral taxonomy. The KJV names should therefore be preserved as traditional renderings rather than treated as scientifically exact identifications.</w:t>
      </w:r>
    </w:p>
    <w:p>
      <w:pPr>
        <w:pStyle w:val="Heading2"/>
      </w:pPr>
      <w:r>
        <w:t>Exodus 28:22–29 — bound to ephod; names upon the heart</w:t>
      </w:r>
    </w:p>
    <w:p>
      <w:pPr/>
      <w:r>
        <w:rPr>
          <w:i w:val="0"/>
        </w:rPr>
        <w:t>Gold chains, rings and blue cord secure the breastpiece so it cannot come loose from the ephod. Aaron bears the names of Israel “upon his heart” when he enters the Holy Place.</w:t>
      </w:r>
    </w:p>
    <w:p>
      <w:pPr/>
      <w:r>
        <w:rPr>
          <w:i w:val="0"/>
        </w:rPr>
        <w:t>Mansfield’s contrast is helpful: the shoulder stones suggest responsibility borne in strength, while the heart location suggests sympathetic representation and love. Hebrews later develops the sympathetic priesthood theme in Christ (Hebrews 4:14–16).</w:t>
      </w:r>
    </w:p>
    <w:p>
      <w:pPr>
        <w:pStyle w:val="Heading2"/>
      </w:pPr>
      <w:r>
        <w:t>Exodus 28:30 — Urim and Thummim</w:t>
      </w:r>
    </w:p>
    <w:p>
      <w:pPr/>
      <w:r>
        <w:rPr>
          <w:i w:val="0"/>
        </w:rPr>
        <w:t>Urim and Thummim are placed in the breastpiece of judgment so Aaron bears Israel’s judgment before Yahweh continually. The traditional associations “lights” and “perfections” fit the Hebrew forms, though their precise etymology and physical form remain uncertain.</w:t>
      </w:r>
    </w:p>
    <w:p>
      <w:pPr/>
      <w:r>
        <w:rPr>
          <w:i w:val="0"/>
        </w:rPr>
        <w:t>Scripture shows them connected with obtaining Divine decisions (Numbers 27:21; 1 Samuel 28:6), but never explains their physical mechanism. They should not be reconstructed as magical lots, crystals or occult devices.</w:t>
      </w:r>
    </w:p>
    <w:p>
      <w:pPr>
        <w:pStyle w:val="Heading1"/>
      </w:pPr>
      <w:r>
        <w:t>THE BLUE ROBE, POMEGRANATES AND BELLS — EXODUS 28:31–35</w:t>
      </w:r>
    </w:p>
    <w:p>
      <w:pPr>
        <w:pStyle w:val="Heading2"/>
      </w:pPr>
      <w:r>
        <w:t>Exodus 28:31–32 — robe made not to tear</w:t>
      </w:r>
    </w:p>
    <w:p>
      <w:pPr/>
      <w:r>
        <w:rPr>
          <w:i w:val="0"/>
        </w:rPr>
        <w:t>The robe of the ephod is all blue, with a reinforced opening so that it will not tear. The garment itself teaches ordered durability rather than careless handling.</w:t>
      </w:r>
    </w:p>
    <w:p>
      <w:pPr>
        <w:pStyle w:val="Heading2"/>
      </w:pPr>
      <w:r>
        <w:t>Exodus 28:33–35 — pomegranates and golden bells</w:t>
      </w:r>
    </w:p>
    <w:p>
      <w:pPr/>
      <w:r>
        <w:rPr>
          <w:i w:val="0"/>
        </w:rPr>
        <w:t>Decorative pomegranates in sanctuary colours alternate with gold bells around the hem. The priestly sound is heard as Aaron enters and leaves before Yahweh, “that he die not.” Exact obedience in approach is therefore a matter of life and death.</w:t>
      </w:r>
    </w:p>
    <w:p>
      <w:pPr/>
      <w:r>
        <w:rPr>
          <w:i w:val="0"/>
        </w:rPr>
        <w:t>Pomegranates naturally suggest fruitfulness, and bells audible witness, but those are symbolic applications rather than stated definitions.</w:t>
      </w:r>
    </w:p>
    <w:p>
      <w:pPr>
        <w:pStyle w:val="Heading1"/>
      </w:pPr>
      <w:r>
        <w:t>HOLINESS UPON THE FOREHEAD — EXODUS 28:36–41</w:t>
      </w:r>
    </w:p>
    <w:p>
      <w:pPr>
        <w:pStyle w:val="Heading2"/>
      </w:pPr>
      <w:r>
        <w:t>Exodus 28:36–38 — “HOLINESS TO YAHWEH”</w:t>
      </w:r>
    </w:p>
    <w:p>
      <w:pPr/>
      <w:r>
        <w:rPr>
          <w:i w:val="0"/>
        </w:rPr>
        <w:t>A pure-gold tsits, plate/diadem-like plaque, is engraved “QODESH LAYHWH” — HOLINESS TO YAHWEH — and fastened to the turban with blue cord. It rests on Aaron’s forehead.</w:t>
      </w:r>
    </w:p>
    <w:p>
      <w:pPr/>
      <w:r>
        <w:rPr>
          <w:i w:val="0"/>
        </w:rPr>
        <w:t>Aaron bears the iniquity of the holy things offered by Israel so that they may be accepted. Even consecrated human service needs priestly mediation. Mansfield’s mind/forehead application is fitting typology.</w:t>
      </w:r>
    </w:p>
    <w:p>
      <w:pPr>
        <w:pStyle w:val="Heading2"/>
      </w:pPr>
      <w:r>
        <w:t>Exodus 28:39–41 — garments, anointing and consecration</w:t>
      </w:r>
    </w:p>
    <w:p>
      <w:pPr/>
      <w:r>
        <w:rPr>
          <w:i w:val="0"/>
        </w:rPr>
        <w:t>Fine linen garments are made for Aaron and his sons. Moses must clothe, anoint, “consecrate” and sanctify them. The phrase translated consecrate is literally “fill their hand,” an idiom for installing someone into priestly office.</w:t>
      </w:r>
    </w:p>
    <w:p>
      <w:pPr>
        <w:pStyle w:val="Heading1"/>
      </w:pPr>
      <w:r>
        <w:t>LINEN BREECHES AND MODESTY — EXODUS 28:42–43</w:t>
      </w:r>
    </w:p>
    <w:p>
      <w:pPr>
        <w:pStyle w:val="Heading2"/>
      </w:pPr>
      <w:r>
        <w:t>Exodus 28:42–43 — covering nakedness</w:t>
      </w:r>
    </w:p>
    <w:p>
      <w:pPr/>
      <w:r>
        <w:rPr>
          <w:i w:val="0"/>
        </w:rPr>
        <w:t>Linen breeches cover from loins to thighs whenever the priests approach the sanctuary or altar. The requirement is explicit modesty before Yahweh and contrasts sharply with worship in which nakedness is exposed.</w:t>
      </w:r>
    </w:p>
    <w:p>
      <w:pPr/>
      <w:r>
        <w:rPr>
          <w:i w:val="0"/>
        </w:rPr>
        <w:t>The closing warning “that they bear not iniquity, and die” repeats the seriousness of priestly approach. Holiness is not aesthetic preference but obedience to the God who appoints access.</w:t>
      </w:r>
    </w:p>
    <w:p>
      <w:pPr>
        <w:pStyle w:val="Heading1"/>
      </w:pPr>
      <w:r>
        <w:t>THE HIGH PRIEST AS REPRESENTATIVE</w:t>
      </w:r>
    </w:p>
    <w:p>
      <w:pPr>
        <w:pStyle w:val="Heading2"/>
      </w:pPr>
      <w:r>
        <w:t>Shoulders, heart and forehead</w:t>
      </w:r>
    </w:p>
    <w:p>
      <w:pPr/>
      <w:r>
        <w:rPr>
          <w:i w:val="0"/>
        </w:rPr>
        <w:t>Aaron carries Israel on his shoulders, over his heart, and ministers with holiness written upon his forehead. Mansfield’s Christological application therefore rests on a strong representative structure: strength/responsibility, sympathy/love and a sanctified mind converge in priestly mediation.</w:t>
      </w:r>
    </w:p>
    <w:p>
      <w:pPr>
        <w:pStyle w:val="Heading1"/>
      </w:pPr>
      <w:r>
        <w:t>PRINCIPAL THEMES</w:t>
      </w:r>
    </w:p>
    <w:p>
      <w:pPr>
        <w:ind w:left="259" w:hanging="202"/>
      </w:pPr>
      <w:r>
        <w:rPr>
          <w:b/>
        </w:rPr>
        <w:t xml:space="preserve">• </w:t>
      </w:r>
      <w:r>
        <w:t>Priestly service requires both Divine appointment and Divinely enabled skill.</w:t>
      </w:r>
    </w:p>
    <w:p>
      <w:pPr>
        <w:ind w:left="259" w:hanging="202"/>
      </w:pPr>
      <w:r>
        <w:rPr>
          <w:b/>
        </w:rPr>
        <w:t xml:space="preserve">• </w:t>
      </w:r>
      <w:r>
        <w:t>The high priest represents named people, not an anonymous mass.</w:t>
      </w:r>
    </w:p>
    <w:p>
      <w:pPr>
        <w:ind w:left="259" w:hanging="202"/>
      </w:pPr>
      <w:r>
        <w:rPr>
          <w:b/>
        </w:rPr>
        <w:t xml:space="preserve">• </w:t>
      </w:r>
      <w:r>
        <w:t>Shoulders and heart provide a strong pattern of responsibility and sympathy.</w:t>
      </w:r>
    </w:p>
    <w:p>
      <w:pPr>
        <w:ind w:left="259" w:hanging="202"/>
      </w:pPr>
      <w:r>
        <w:rPr>
          <w:b/>
        </w:rPr>
        <w:t xml:space="preserve">• </w:t>
      </w:r>
      <w:r>
        <w:t>Gemstone identifications should remain traditional rather than scientifically overconfident.</w:t>
      </w:r>
    </w:p>
    <w:p>
      <w:pPr>
        <w:ind w:left="259" w:hanging="202"/>
      </w:pPr>
      <w:r>
        <w:rPr>
          <w:b/>
        </w:rPr>
        <w:t xml:space="preserve">• </w:t>
      </w:r>
      <w:r>
        <w:t>Urim and Thummim belong to Divine judgment, not occult divination.</w:t>
      </w:r>
    </w:p>
    <w:p>
      <w:pPr>
        <w:ind w:left="259" w:hanging="202"/>
      </w:pPr>
      <w:r>
        <w:rPr>
          <w:b/>
        </w:rPr>
        <w:t xml:space="preserve">• </w:t>
      </w:r>
      <w:r>
        <w:t>Holiness governs priestly thought, dress and approach.</w:t>
      </w:r>
    </w:p>
    <w:p>
      <w:pPr>
        <w:ind w:left="259" w:hanging="202"/>
      </w:pPr>
      <w:r>
        <w:rPr>
          <w:b/>
        </w:rPr>
        <w:t xml:space="preserve">• </w:t>
      </w:r>
      <w:r>
        <w:t>Even holy offerings require God-provided mediation.</w:t>
      </w:r>
    </w:p>
    <w:p>
      <w:pPr>
        <w:ind w:left="259" w:hanging="202"/>
      </w:pPr>
      <w:r>
        <w:rPr>
          <w:b/>
        </w:rPr>
        <w:t xml:space="preserve">• </w:t>
      </w:r>
      <w:r>
        <w:t>The priestly garments culminate in representative service before Yahweh.</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28:1</w:t>
            </w:r>
          </w:p>
        </w:tc>
        <w:tc>
          <w:tcPr>
            <w:tcW w:type="dxa" w:w="3561"/>
            <w:vAlign w:val="top"/>
          </w:tcPr>
          <w:p>
            <w:pPr>
              <w:spacing w:after="0"/>
            </w:pPr>
            <w:r>
              <w:rPr>
                <w:rFonts w:ascii="Times New Roman" w:hAnsi="Times New Roman"/>
                <w:sz w:val="14"/>
              </w:rPr>
              <w:t>Aaronic sons</w:t>
            </w:r>
          </w:p>
        </w:tc>
        <w:tc>
          <w:tcPr>
            <w:tcW w:type="dxa" w:w="3561"/>
            <w:vAlign w:val="top"/>
          </w:tcPr>
          <w:p>
            <w:pPr>
              <w:spacing w:after="0"/>
            </w:pPr>
            <w:r>
              <w:rPr>
                <w:rFonts w:ascii="Times New Roman" w:hAnsi="Times New Roman"/>
                <w:sz w:val="14"/>
              </w:rPr>
              <w:t>Aaron, Nadab, Abihu, Eleazar, Ithamar explicitly named.</w:t>
            </w:r>
          </w:p>
        </w:tc>
      </w:tr>
      <w:tr>
        <w:tc>
          <w:tcPr>
            <w:tcW w:type="dxa" w:w="3561"/>
            <w:vAlign w:val="top"/>
          </w:tcPr>
          <w:p>
            <w:pPr>
              <w:spacing w:after="0"/>
            </w:pPr>
            <w:r>
              <w:rPr>
                <w:rFonts w:ascii="Times New Roman" w:hAnsi="Times New Roman"/>
                <w:sz w:val="14"/>
              </w:rPr>
              <w:t>Ex. 28:3</w:t>
            </w:r>
          </w:p>
        </w:tc>
        <w:tc>
          <w:tcPr>
            <w:tcW w:type="dxa" w:w="3561"/>
            <w:vAlign w:val="top"/>
          </w:tcPr>
          <w:p>
            <w:pPr>
              <w:spacing w:after="0"/>
            </w:pPr>
            <w:r>
              <w:rPr>
                <w:rFonts w:ascii="Times New Roman" w:hAnsi="Times New Roman"/>
                <w:sz w:val="14"/>
              </w:rPr>
              <w:t>spirit of wisdom</w:t>
            </w:r>
          </w:p>
        </w:tc>
        <w:tc>
          <w:tcPr>
            <w:tcW w:type="dxa" w:w="3561"/>
            <w:vAlign w:val="top"/>
          </w:tcPr>
          <w:p>
            <w:pPr>
              <w:spacing w:after="0"/>
            </w:pPr>
            <w:r>
              <w:rPr>
                <w:rFonts w:ascii="Times New Roman" w:hAnsi="Times New Roman"/>
                <w:sz w:val="14"/>
              </w:rPr>
              <w:t>God-given skill/wisdom for sacred craftsmanship.</w:t>
            </w:r>
          </w:p>
        </w:tc>
      </w:tr>
      <w:tr>
        <w:tc>
          <w:tcPr>
            <w:tcW w:type="dxa" w:w="3561"/>
            <w:vAlign w:val="top"/>
          </w:tcPr>
          <w:p>
            <w:pPr>
              <w:spacing w:after="0"/>
            </w:pPr>
            <w:r>
              <w:rPr>
                <w:rFonts w:ascii="Times New Roman" w:hAnsi="Times New Roman"/>
                <w:sz w:val="14"/>
              </w:rPr>
              <w:t>Ex. 28:6</w:t>
            </w:r>
          </w:p>
        </w:tc>
        <w:tc>
          <w:tcPr>
            <w:tcW w:type="dxa" w:w="3561"/>
            <w:vAlign w:val="top"/>
          </w:tcPr>
          <w:p>
            <w:pPr>
              <w:spacing w:after="0"/>
            </w:pPr>
            <w:r>
              <w:rPr>
                <w:rFonts w:ascii="Times New Roman" w:hAnsi="Times New Roman"/>
                <w:sz w:val="14"/>
              </w:rPr>
              <w:t>ephod</w:t>
            </w:r>
          </w:p>
        </w:tc>
        <w:tc>
          <w:tcPr>
            <w:tcW w:type="dxa" w:w="3561"/>
            <w:vAlign w:val="top"/>
          </w:tcPr>
          <w:p>
            <w:pPr>
              <w:spacing w:after="0"/>
            </w:pPr>
            <w:r>
              <w:rPr>
                <w:rFonts w:ascii="Times New Roman" w:hAnsi="Times New Roman"/>
                <w:sz w:val="14"/>
              </w:rPr>
              <w:t>Exact garment reconstruction uncertain.</w:t>
            </w:r>
          </w:p>
        </w:tc>
      </w:tr>
      <w:tr>
        <w:tc>
          <w:tcPr>
            <w:tcW w:type="dxa" w:w="3561"/>
            <w:vAlign w:val="top"/>
          </w:tcPr>
          <w:p>
            <w:pPr>
              <w:spacing w:after="0"/>
            </w:pPr>
            <w:r>
              <w:rPr>
                <w:rFonts w:ascii="Times New Roman" w:hAnsi="Times New Roman"/>
                <w:sz w:val="14"/>
              </w:rPr>
              <w:t>Ex. 28:9</w:t>
            </w:r>
          </w:p>
        </w:tc>
        <w:tc>
          <w:tcPr>
            <w:tcW w:type="dxa" w:w="3561"/>
            <w:vAlign w:val="top"/>
          </w:tcPr>
          <w:p>
            <w:pPr>
              <w:spacing w:after="0"/>
            </w:pPr>
            <w:r>
              <w:rPr>
                <w:rFonts w:ascii="Times New Roman" w:hAnsi="Times New Roman"/>
                <w:sz w:val="14"/>
              </w:rPr>
              <w:t>shoham</w:t>
            </w:r>
          </w:p>
        </w:tc>
        <w:tc>
          <w:tcPr>
            <w:tcW w:type="dxa" w:w="3561"/>
            <w:vAlign w:val="top"/>
          </w:tcPr>
          <w:p>
            <w:pPr>
              <w:spacing w:after="0"/>
            </w:pPr>
            <w:r>
              <w:rPr>
                <w:rFonts w:ascii="Times New Roman" w:hAnsi="Times New Roman"/>
                <w:sz w:val="14"/>
              </w:rPr>
              <w:t>Traditionally onyx; exact mineral uncertain.</w:t>
            </w:r>
          </w:p>
        </w:tc>
      </w:tr>
      <w:tr>
        <w:tc>
          <w:tcPr>
            <w:tcW w:type="dxa" w:w="3561"/>
            <w:vAlign w:val="top"/>
          </w:tcPr>
          <w:p>
            <w:pPr>
              <w:spacing w:after="0"/>
            </w:pPr>
            <w:r>
              <w:rPr>
                <w:rFonts w:ascii="Times New Roman" w:hAnsi="Times New Roman"/>
                <w:sz w:val="14"/>
              </w:rPr>
              <w:t>Ex. 28:12</w:t>
            </w:r>
          </w:p>
        </w:tc>
        <w:tc>
          <w:tcPr>
            <w:tcW w:type="dxa" w:w="3561"/>
            <w:vAlign w:val="top"/>
          </w:tcPr>
          <w:p>
            <w:pPr>
              <w:spacing w:after="0"/>
            </w:pPr>
            <w:r>
              <w:rPr>
                <w:rFonts w:ascii="Times New Roman" w:hAnsi="Times New Roman"/>
                <w:sz w:val="14"/>
              </w:rPr>
              <w:t>stones of memorial</w:t>
            </w:r>
          </w:p>
        </w:tc>
        <w:tc>
          <w:tcPr>
            <w:tcW w:type="dxa" w:w="3561"/>
            <w:vAlign w:val="top"/>
          </w:tcPr>
          <w:p>
            <w:pPr>
              <w:spacing w:after="0"/>
            </w:pPr>
            <w:r>
              <w:rPr>
                <w:rFonts w:ascii="Times New Roman" w:hAnsi="Times New Roman"/>
                <w:sz w:val="14"/>
              </w:rPr>
              <w:t>Tribal names borne before Yahweh.</w:t>
            </w:r>
          </w:p>
        </w:tc>
      </w:tr>
      <w:tr>
        <w:tc>
          <w:tcPr>
            <w:tcW w:type="dxa" w:w="3561"/>
            <w:vAlign w:val="top"/>
          </w:tcPr>
          <w:p>
            <w:pPr>
              <w:spacing w:after="0"/>
            </w:pPr>
            <w:r>
              <w:rPr>
                <w:rFonts w:ascii="Times New Roman" w:hAnsi="Times New Roman"/>
                <w:sz w:val="14"/>
              </w:rPr>
              <w:t>Ex. 28:15</w:t>
            </w:r>
          </w:p>
        </w:tc>
        <w:tc>
          <w:tcPr>
            <w:tcW w:type="dxa" w:w="3561"/>
            <w:vAlign w:val="top"/>
          </w:tcPr>
          <w:p>
            <w:pPr>
              <w:spacing w:after="0"/>
            </w:pPr>
            <w:r>
              <w:rPr>
                <w:rFonts w:ascii="Times New Roman" w:hAnsi="Times New Roman"/>
                <w:sz w:val="14"/>
              </w:rPr>
              <w:t>choshen mishpat</w:t>
            </w:r>
          </w:p>
        </w:tc>
        <w:tc>
          <w:tcPr>
            <w:tcW w:type="dxa" w:w="3561"/>
            <w:vAlign w:val="top"/>
          </w:tcPr>
          <w:p>
            <w:pPr>
              <w:spacing w:after="0"/>
            </w:pPr>
            <w:r>
              <w:rPr>
                <w:rFonts w:ascii="Times New Roman" w:hAnsi="Times New Roman"/>
                <w:sz w:val="14"/>
              </w:rPr>
              <w:t>Breastpiece/breastplate of judgment.</w:t>
            </w:r>
          </w:p>
        </w:tc>
      </w:tr>
      <w:tr>
        <w:tc>
          <w:tcPr>
            <w:tcW w:type="dxa" w:w="3561"/>
            <w:vAlign w:val="top"/>
          </w:tcPr>
          <w:p>
            <w:pPr>
              <w:spacing w:after="0"/>
            </w:pPr>
            <w:r>
              <w:rPr>
                <w:rFonts w:ascii="Times New Roman" w:hAnsi="Times New Roman"/>
                <w:sz w:val="14"/>
              </w:rPr>
              <w:t>Ex. 28:17–20</w:t>
            </w:r>
          </w:p>
        </w:tc>
        <w:tc>
          <w:tcPr>
            <w:tcW w:type="dxa" w:w="3561"/>
            <w:vAlign w:val="top"/>
          </w:tcPr>
          <w:p>
            <w:pPr>
              <w:spacing w:after="0"/>
            </w:pPr>
            <w:r>
              <w:rPr>
                <w:rFonts w:ascii="Times New Roman" w:hAnsi="Times New Roman"/>
                <w:sz w:val="14"/>
              </w:rPr>
              <w:t>12 gemstone names</w:t>
            </w:r>
          </w:p>
        </w:tc>
        <w:tc>
          <w:tcPr>
            <w:tcW w:type="dxa" w:w="3561"/>
            <w:vAlign w:val="top"/>
          </w:tcPr>
          <w:p>
            <w:pPr>
              <w:spacing w:after="0"/>
            </w:pPr>
            <w:r>
              <w:rPr>
                <w:rFonts w:ascii="Times New Roman" w:hAnsi="Times New Roman"/>
                <w:sz w:val="14"/>
              </w:rPr>
              <w:t>Several ancient stones cannot be mapped securely to modern minerals.</w:t>
            </w:r>
          </w:p>
        </w:tc>
      </w:tr>
      <w:tr>
        <w:tc>
          <w:tcPr>
            <w:tcW w:type="dxa" w:w="3561"/>
            <w:vAlign w:val="top"/>
          </w:tcPr>
          <w:p>
            <w:pPr>
              <w:spacing w:after="0"/>
            </w:pPr>
            <w:r>
              <w:rPr>
                <w:rFonts w:ascii="Times New Roman" w:hAnsi="Times New Roman"/>
                <w:sz w:val="14"/>
              </w:rPr>
              <w:t>Ex. 28:29</w:t>
            </w:r>
          </w:p>
        </w:tc>
        <w:tc>
          <w:tcPr>
            <w:tcW w:type="dxa" w:w="3561"/>
            <w:vAlign w:val="top"/>
          </w:tcPr>
          <w:p>
            <w:pPr>
              <w:spacing w:after="0"/>
            </w:pPr>
            <w:r>
              <w:rPr>
                <w:rFonts w:ascii="Times New Roman" w:hAnsi="Times New Roman"/>
                <w:sz w:val="14"/>
              </w:rPr>
              <w:t>names on heart</w:t>
            </w:r>
          </w:p>
        </w:tc>
        <w:tc>
          <w:tcPr>
            <w:tcW w:type="dxa" w:w="3561"/>
            <w:vAlign w:val="top"/>
          </w:tcPr>
          <w:p>
            <w:pPr>
              <w:spacing w:after="0"/>
            </w:pPr>
            <w:r>
              <w:rPr>
                <w:rFonts w:ascii="Times New Roman" w:hAnsi="Times New Roman"/>
                <w:sz w:val="14"/>
              </w:rPr>
              <w:t>Explicit representative function.</w:t>
            </w:r>
          </w:p>
        </w:tc>
      </w:tr>
      <w:tr>
        <w:tc>
          <w:tcPr>
            <w:tcW w:type="dxa" w:w="3561"/>
            <w:vAlign w:val="top"/>
          </w:tcPr>
          <w:p>
            <w:pPr>
              <w:spacing w:after="0"/>
            </w:pPr>
            <w:r>
              <w:rPr>
                <w:rFonts w:ascii="Times New Roman" w:hAnsi="Times New Roman"/>
                <w:sz w:val="14"/>
              </w:rPr>
              <w:t>Heb. 4:14–16</w:t>
            </w:r>
          </w:p>
        </w:tc>
        <w:tc>
          <w:tcPr>
            <w:tcW w:type="dxa" w:w="3561"/>
            <w:vAlign w:val="top"/>
          </w:tcPr>
          <w:p>
            <w:pPr>
              <w:spacing w:after="0"/>
            </w:pPr>
            <w:r>
              <w:rPr>
                <w:rFonts w:ascii="Times New Roman" w:hAnsi="Times New Roman"/>
                <w:sz w:val="14"/>
              </w:rPr>
              <w:t>sympathetic high priest</w:t>
            </w:r>
          </w:p>
        </w:tc>
        <w:tc>
          <w:tcPr>
            <w:tcW w:type="dxa" w:w="3561"/>
            <w:vAlign w:val="top"/>
          </w:tcPr>
          <w:p>
            <w:pPr>
              <w:spacing w:after="0"/>
            </w:pPr>
            <w:r>
              <w:rPr>
                <w:rFonts w:ascii="Times New Roman" w:hAnsi="Times New Roman"/>
                <w:sz w:val="14"/>
              </w:rPr>
              <w:t>Later Christological fulfilment of priestly sympathy.</w:t>
            </w:r>
          </w:p>
        </w:tc>
      </w:tr>
      <w:tr>
        <w:tc>
          <w:tcPr>
            <w:tcW w:type="dxa" w:w="3561"/>
            <w:vAlign w:val="top"/>
          </w:tcPr>
          <w:p>
            <w:pPr>
              <w:spacing w:after="0"/>
            </w:pPr>
            <w:r>
              <w:rPr>
                <w:rFonts w:ascii="Times New Roman" w:hAnsi="Times New Roman"/>
                <w:sz w:val="14"/>
              </w:rPr>
              <w:t>Ex. 28:30</w:t>
            </w:r>
          </w:p>
        </w:tc>
        <w:tc>
          <w:tcPr>
            <w:tcW w:type="dxa" w:w="3561"/>
            <w:vAlign w:val="top"/>
          </w:tcPr>
          <w:p>
            <w:pPr>
              <w:spacing w:after="0"/>
            </w:pPr>
            <w:r>
              <w:rPr>
                <w:rFonts w:ascii="Times New Roman" w:hAnsi="Times New Roman"/>
                <w:sz w:val="14"/>
              </w:rPr>
              <w:t>Urim / Thummim</w:t>
            </w:r>
          </w:p>
        </w:tc>
        <w:tc>
          <w:tcPr>
            <w:tcW w:type="dxa" w:w="3561"/>
            <w:vAlign w:val="top"/>
          </w:tcPr>
          <w:p>
            <w:pPr>
              <w:spacing w:after="0"/>
            </w:pPr>
            <w:r>
              <w:rPr>
                <w:rFonts w:ascii="Times New Roman" w:hAnsi="Times New Roman"/>
                <w:sz w:val="14"/>
              </w:rPr>
              <w:t>Traditionally lights/perfections; physical form/mechanism unexplained.</w:t>
            </w:r>
          </w:p>
        </w:tc>
      </w:tr>
      <w:tr>
        <w:tc>
          <w:tcPr>
            <w:tcW w:type="dxa" w:w="3561"/>
            <w:vAlign w:val="top"/>
          </w:tcPr>
          <w:p>
            <w:pPr>
              <w:spacing w:after="0"/>
            </w:pPr>
            <w:r>
              <w:rPr>
                <w:rFonts w:ascii="Times New Roman" w:hAnsi="Times New Roman"/>
                <w:sz w:val="14"/>
              </w:rPr>
              <w:t>Num. 27:21; 1 Sam. 28:6</w:t>
            </w:r>
          </w:p>
        </w:tc>
        <w:tc>
          <w:tcPr>
            <w:tcW w:type="dxa" w:w="3561"/>
            <w:vAlign w:val="top"/>
          </w:tcPr>
          <w:p>
            <w:pPr>
              <w:spacing w:after="0"/>
            </w:pPr>
            <w:r>
              <w:rPr>
                <w:rFonts w:ascii="Times New Roman" w:hAnsi="Times New Roman"/>
                <w:sz w:val="14"/>
              </w:rPr>
              <w:t>Divine decision</w:t>
            </w:r>
          </w:p>
        </w:tc>
        <w:tc>
          <w:tcPr>
            <w:tcW w:type="dxa" w:w="3561"/>
            <w:vAlign w:val="top"/>
          </w:tcPr>
          <w:p>
            <w:pPr>
              <w:spacing w:after="0"/>
            </w:pPr>
            <w:r>
              <w:rPr>
                <w:rFonts w:ascii="Times New Roman" w:hAnsi="Times New Roman"/>
                <w:sz w:val="14"/>
              </w:rPr>
              <w:t>Urim connected with seeking Yahweh’s judgment, not magic.</w:t>
            </w:r>
          </w:p>
        </w:tc>
      </w:tr>
      <w:tr>
        <w:tc>
          <w:tcPr>
            <w:tcW w:type="dxa" w:w="3561"/>
            <w:vAlign w:val="top"/>
          </w:tcPr>
          <w:p>
            <w:pPr>
              <w:spacing w:after="0"/>
            </w:pPr>
            <w:r>
              <w:rPr>
                <w:rFonts w:ascii="Times New Roman" w:hAnsi="Times New Roman"/>
                <w:sz w:val="14"/>
              </w:rPr>
              <w:t>Ex. 28:35</w:t>
            </w:r>
          </w:p>
        </w:tc>
        <w:tc>
          <w:tcPr>
            <w:tcW w:type="dxa" w:w="3561"/>
            <w:vAlign w:val="top"/>
          </w:tcPr>
          <w:p>
            <w:pPr>
              <w:spacing w:after="0"/>
            </w:pPr>
            <w:r>
              <w:rPr>
                <w:rFonts w:ascii="Times New Roman" w:hAnsi="Times New Roman"/>
                <w:sz w:val="14"/>
              </w:rPr>
              <w:t>bells heard</w:t>
            </w:r>
          </w:p>
        </w:tc>
        <w:tc>
          <w:tcPr>
            <w:tcW w:type="dxa" w:w="3561"/>
            <w:vAlign w:val="top"/>
          </w:tcPr>
          <w:p>
            <w:pPr>
              <w:spacing w:after="0"/>
            </w:pPr>
            <w:r>
              <w:rPr>
                <w:rFonts w:ascii="Times New Roman" w:hAnsi="Times New Roman"/>
                <w:sz w:val="14"/>
              </w:rPr>
              <w:t>Exact obedience in sanctuary approach.</w:t>
            </w:r>
          </w:p>
        </w:tc>
      </w:tr>
      <w:tr>
        <w:tc>
          <w:tcPr>
            <w:tcW w:type="dxa" w:w="3561"/>
            <w:vAlign w:val="top"/>
          </w:tcPr>
          <w:p>
            <w:pPr>
              <w:spacing w:after="0"/>
            </w:pPr>
            <w:r>
              <w:rPr>
                <w:rFonts w:ascii="Times New Roman" w:hAnsi="Times New Roman"/>
                <w:sz w:val="14"/>
              </w:rPr>
              <w:t>Ex. 28:36</w:t>
            </w:r>
          </w:p>
        </w:tc>
        <w:tc>
          <w:tcPr>
            <w:tcW w:type="dxa" w:w="3561"/>
            <w:vAlign w:val="top"/>
          </w:tcPr>
          <w:p>
            <w:pPr>
              <w:spacing w:after="0"/>
            </w:pPr>
            <w:r>
              <w:rPr>
                <w:rFonts w:ascii="Times New Roman" w:hAnsi="Times New Roman"/>
                <w:sz w:val="14"/>
              </w:rPr>
              <w:t>tsits</w:t>
            </w:r>
          </w:p>
        </w:tc>
        <w:tc>
          <w:tcPr>
            <w:tcW w:type="dxa" w:w="3561"/>
            <w:vAlign w:val="top"/>
          </w:tcPr>
          <w:p>
            <w:pPr>
              <w:spacing w:after="0"/>
            </w:pPr>
            <w:r>
              <w:rPr>
                <w:rFonts w:ascii="Times New Roman" w:hAnsi="Times New Roman"/>
                <w:sz w:val="14"/>
              </w:rPr>
              <w:t>Gold plate/plaque; engraved HOLINESS TO YAHWEH.</w:t>
            </w:r>
          </w:p>
        </w:tc>
      </w:tr>
      <w:tr>
        <w:tc>
          <w:tcPr>
            <w:tcW w:type="dxa" w:w="3561"/>
            <w:vAlign w:val="top"/>
          </w:tcPr>
          <w:p>
            <w:pPr>
              <w:spacing w:after="0"/>
            </w:pPr>
            <w:r>
              <w:rPr>
                <w:rFonts w:ascii="Times New Roman" w:hAnsi="Times New Roman"/>
                <w:sz w:val="14"/>
              </w:rPr>
              <w:t>Ex. 28:38</w:t>
            </w:r>
          </w:p>
        </w:tc>
        <w:tc>
          <w:tcPr>
            <w:tcW w:type="dxa" w:w="3561"/>
            <w:vAlign w:val="top"/>
          </w:tcPr>
          <w:p>
            <w:pPr>
              <w:spacing w:after="0"/>
            </w:pPr>
            <w:r>
              <w:rPr>
                <w:rFonts w:ascii="Times New Roman" w:hAnsi="Times New Roman"/>
                <w:sz w:val="14"/>
              </w:rPr>
              <w:t>bears iniquity of holy things</w:t>
            </w:r>
          </w:p>
        </w:tc>
        <w:tc>
          <w:tcPr>
            <w:tcW w:type="dxa" w:w="3561"/>
            <w:vAlign w:val="top"/>
          </w:tcPr>
          <w:p>
            <w:pPr>
              <w:spacing w:after="0"/>
            </w:pPr>
            <w:r>
              <w:rPr>
                <w:rFonts w:ascii="Times New Roman" w:hAnsi="Times New Roman"/>
                <w:sz w:val="14"/>
              </w:rPr>
              <w:t>Priestly mediation even for Israel’s offerings.</w:t>
            </w:r>
          </w:p>
        </w:tc>
      </w:tr>
      <w:tr>
        <w:tc>
          <w:tcPr>
            <w:tcW w:type="dxa" w:w="3561"/>
            <w:vAlign w:val="top"/>
          </w:tcPr>
          <w:p>
            <w:pPr>
              <w:spacing w:after="0"/>
            </w:pPr>
            <w:r>
              <w:rPr>
                <w:rFonts w:ascii="Times New Roman" w:hAnsi="Times New Roman"/>
                <w:sz w:val="14"/>
              </w:rPr>
              <w:t>Ex. 28:41</w:t>
            </w:r>
          </w:p>
        </w:tc>
        <w:tc>
          <w:tcPr>
            <w:tcW w:type="dxa" w:w="3561"/>
            <w:vAlign w:val="top"/>
          </w:tcPr>
          <w:p>
            <w:pPr>
              <w:spacing w:after="0"/>
            </w:pPr>
            <w:r>
              <w:rPr>
                <w:rFonts w:ascii="Times New Roman" w:hAnsi="Times New Roman"/>
                <w:sz w:val="14"/>
              </w:rPr>
              <w:t>fill the hand</w:t>
            </w:r>
          </w:p>
        </w:tc>
        <w:tc>
          <w:tcPr>
            <w:tcW w:type="dxa" w:w="3561"/>
            <w:vAlign w:val="top"/>
          </w:tcPr>
          <w:p>
            <w:pPr>
              <w:spacing w:after="0"/>
            </w:pPr>
            <w:r>
              <w:rPr>
                <w:rFonts w:ascii="Times New Roman" w:hAnsi="Times New Roman"/>
                <w:sz w:val="14"/>
              </w:rPr>
              <w:t>Hebrew idiom of installation/consecration to priestly office.</w:t>
            </w:r>
          </w:p>
        </w:tc>
      </w:tr>
      <w:tr>
        <w:tc>
          <w:tcPr>
            <w:tcW w:type="dxa" w:w="3561"/>
            <w:vAlign w:val="top"/>
          </w:tcPr>
          <w:p>
            <w:pPr>
              <w:spacing w:after="0"/>
            </w:pPr>
            <w:r>
              <w:rPr>
                <w:rFonts w:ascii="Times New Roman" w:hAnsi="Times New Roman"/>
                <w:sz w:val="14"/>
              </w:rPr>
              <w:t>Ex. 28:42</w:t>
            </w:r>
          </w:p>
        </w:tc>
        <w:tc>
          <w:tcPr>
            <w:tcW w:type="dxa" w:w="3561"/>
            <w:vAlign w:val="top"/>
          </w:tcPr>
          <w:p>
            <w:pPr>
              <w:spacing w:after="0"/>
            </w:pPr>
            <w:r>
              <w:rPr>
                <w:rFonts w:ascii="Times New Roman" w:hAnsi="Times New Roman"/>
                <w:sz w:val="14"/>
              </w:rPr>
              <w:t>linen breeches</w:t>
            </w:r>
          </w:p>
        </w:tc>
        <w:tc>
          <w:tcPr>
            <w:tcW w:type="dxa" w:w="3561"/>
            <w:vAlign w:val="top"/>
          </w:tcPr>
          <w:p>
            <w:pPr>
              <w:spacing w:after="0"/>
            </w:pPr>
            <w:r>
              <w:rPr>
                <w:rFonts w:ascii="Times New Roman" w:hAnsi="Times New Roman"/>
                <w:sz w:val="14"/>
              </w:rPr>
              <w:t>Explicit modest covering from loins to thighs.</w:t>
            </w:r>
          </w:p>
        </w:tc>
      </w:tr>
    </w:tbl>
    <w:p>
      <w:pPr>
        <w:pStyle w:val="Heading1"/>
      </w:pPr>
      <w:r>
        <w:t>RESIDUAL UNCERTAINTIES</w:t>
      </w:r>
    </w:p>
    <w:p>
      <w:pPr/>
      <w:r>
        <w:rPr>
          <w:i w:val="0"/>
        </w:rPr>
        <w:t>The exact construction of the ephod and breastpiece is partly reconstructive, and several gemstone identities remain uncertain. Scripture never explains the physical form or operating mechanism of Urim and Thummim. Mansfield’s symbolic readings of pomegranates, bells, shoulders and colours are retained as typology where useful, not as lexical definitions.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