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29</w:t>
      </w:r>
    </w:p>
    <w:p>
      <w:pPr>
        <w:pStyle w:val="Subtitle"/>
      </w:pPr>
      <w:r>
        <w:t>PRIESTLY CONSECRATION • WASHED, CLOTHED AND ANOINTED • SIN OFFERING • BURNT OFFERING • RAM OF INSTALLATION • CONTINUAL BURNT OFFERING • “I WILL DWELL AMONG THEM”</w:t>
      </w:r>
    </w:p>
    <w:p>
      <w:pPr/>
      <w:r>
        <w:rPr>
          <w:i/>
        </w:rPr>
        <w:t>H. P. Mansfield Bible notes — checked and arranged in verse-by-verse Expositor style</w:t>
      </w:r>
    </w:p>
    <w:p>
      <w:pPr/>
      <w:r>
        <w:rPr>
          <w:i w:val="0"/>
        </w:rPr>
        <w:t>Source: HPB 02-Gen42-Lev11.pdf, principally Exodus 29 photographed pages 63–65</w:t>
      </w:r>
    </w:p>
    <w:p>
      <w:pPr>
        <w:pStyle w:val="Heading1"/>
      </w:pPr>
      <w:r>
        <w:t>CHAPTER OVERVIEW</w:t>
      </w:r>
    </w:p>
    <w:p>
      <w:pPr/>
      <w:r>
        <w:rPr>
          <w:i w:val="0"/>
        </w:rPr>
        <w:t>Exodus 29 describes the installation of Aaron and his sons. Priestly office is not assumed by desire alone: the men are washed, clothed, anointed and brought through a God-appointed sequence of sacrifices. The rite acknowledges their own need for atonement before they can represent others.</w:t>
      </w:r>
    </w:p>
    <w:p>
      <w:pPr/>
      <w:r>
        <w:rPr>
          <w:i w:val="0"/>
        </w:rPr>
        <w:t>The chapter culminates not in the priests themselves but in Yahweh’s purpose to meet, sanctify and dwell among Israel. Priesthood, sacrifice and continual worship all serve the larger goal of covenant fellowship.</w:t>
      </w:r>
    </w:p>
    <w:p>
      <w:pPr>
        <w:pStyle w:val="Heading1"/>
      </w:pPr>
      <w:r>
        <w:t>PREPARATION, WASHING AND CLOTHING — EXODUS 29:1–9</w:t>
      </w:r>
    </w:p>
    <w:p>
      <w:pPr>
        <w:pStyle w:val="Heading2"/>
      </w:pPr>
      <w:r>
        <w:t>Exodus 29:1–3 — animals and unleavened bread prepared</w:t>
      </w:r>
    </w:p>
    <w:p>
      <w:pPr/>
      <w:r>
        <w:rPr>
          <w:i w:val="0"/>
        </w:rPr>
        <w:t>A young bull and two unblemished rams are prepared with unleavened bread, cakes mixed with oil and wafers spread/anointed with oil. The sacrifices are distinct and should not be merged into one general offering: sin offering, burnt offering and ram of installation each has its own function.</w:t>
      </w:r>
    </w:p>
    <w:p>
      <w:pPr>
        <w:pStyle w:val="Heading2"/>
      </w:pPr>
      <w:r>
        <w:t>Exodus 29:4 — washed with water</w:t>
      </w:r>
    </w:p>
    <w:p>
      <w:pPr/>
      <w:r>
        <w:rPr>
          <w:i w:val="0"/>
        </w:rPr>
        <w:t>Aaron and his sons are brought to the entrance of the Tent of Meeting and washed with water. Cleansing precedes clothing and priestly service. The washing is ceremonial and practical; later Christian baptismal applications are typological rather than the verse’s direct subject.</w:t>
      </w:r>
    </w:p>
    <w:p>
      <w:pPr>
        <w:pStyle w:val="Heading2"/>
      </w:pPr>
      <w:r>
        <w:t>Exodus 29:5–9 — clothed, crowned and anointed</w:t>
      </w:r>
    </w:p>
    <w:p>
      <w:pPr/>
      <w:r>
        <w:rPr>
          <w:i w:val="0"/>
        </w:rPr>
        <w:t>Aaron is clothed in tunic, robe, ephod and breastpiece, girded and crowned with the holy plaque. Anointing oil is poured on his head. His sons are also clothed and girded.</w:t>
      </w:r>
    </w:p>
    <w:p>
      <w:pPr/>
      <w:r>
        <w:rPr>
          <w:i w:val="0"/>
        </w:rPr>
        <w:t>The KJV “consecrate” in verse 9 translates the idiom “fill the hand” (mille’ yad), meaning install/ordain into office. It is not a reference to literally filling their hands at this point, though verses 22–24 later create a deliberate ritual wordplay by actually placing the offerings in their hands.</w:t>
      </w:r>
    </w:p>
    <w:p>
      <w:pPr>
        <w:pStyle w:val="Heading1"/>
      </w:pPr>
      <w:r>
        <w:t>THE BULL: SIN OFFERING — EXODUS 29:10–14</w:t>
      </w:r>
    </w:p>
    <w:p>
      <w:pPr>
        <w:pStyle w:val="Heading2"/>
      </w:pPr>
      <w:r>
        <w:t>Exodus 29:10–14 — priestly need for atonement</w:t>
      </w:r>
    </w:p>
    <w:p>
      <w:pPr/>
      <w:r>
        <w:rPr>
          <w:i w:val="0"/>
        </w:rPr>
        <w:t>Aaron and his sons lay hands upon the bull, identifying themselves with the offering. Blood is put on the altar horns and the rest poured at the base; selected fat is burned on the altar, while flesh, skin and dung are burned outside the camp.</w:t>
      </w:r>
    </w:p>
    <w:p>
      <w:pPr/>
      <w:r>
        <w:rPr>
          <w:i w:val="0"/>
        </w:rPr>
        <w:t>The verse explicitly calls this a sin offering. The priesthood therefore begins by acknowledging sin rather than by assuming superior moral status. Hebrews 13:11–13 later draws on the outside-the-camp disposal of sin-offering bodies in its exhortation concerning Christ.</w:t>
      </w:r>
    </w:p>
    <w:p>
      <w:pPr>
        <w:pStyle w:val="Heading1"/>
      </w:pPr>
      <w:r>
        <w:t>THE FIRST RAM: BURNT OFFERING — EXODUS 29:15–18</w:t>
      </w:r>
    </w:p>
    <w:p>
      <w:pPr>
        <w:pStyle w:val="Heading2"/>
      </w:pPr>
      <w:r>
        <w:t>Exodus 29:15–18 — complete dedication</w:t>
      </w:r>
    </w:p>
    <w:p>
      <w:pPr/>
      <w:r>
        <w:rPr>
          <w:i w:val="0"/>
        </w:rPr>
        <w:t>Hands are laid upon the first ram; its blood is sprinkled, the animal is divided and washed, and the whole is burned. As an ‘olah, burnt offering, it ascends wholly to Yahweh.</w:t>
      </w:r>
    </w:p>
    <w:p>
      <w:pPr/>
      <w:r>
        <w:rPr>
          <w:i w:val="0"/>
        </w:rPr>
        <w:t>The “sweet savour” is re’ach nichoach, a pleasing/restful aroma. Scripture is not teaching that God enjoys the smell of death in a crude physical sense; it is covenant language for an offering accepted because it accords with His will.</w:t>
      </w:r>
    </w:p>
    <w:p>
      <w:pPr>
        <w:pStyle w:val="Heading1"/>
      </w:pPr>
      <w:r>
        <w:t>THE SECOND RAM: RAM OF INSTALLATION — EXODUS 29:19–28</w:t>
      </w:r>
    </w:p>
    <w:p>
      <w:pPr>
        <w:pStyle w:val="Heading2"/>
      </w:pPr>
      <w:r>
        <w:t>Exodus 29:19–21 — ear, thumb and great toe</w:t>
      </w:r>
    </w:p>
    <w:p>
      <w:pPr/>
      <w:r>
        <w:rPr>
          <w:i w:val="0"/>
        </w:rPr>
        <w:t>Blood from the second ram is placed on the right ear-lobe, right thumb and great toe of the right foot of Aaron and his sons. Mansfield’s hearing-doing-walking symbolism is a coherent typological application: consecrated service involves receiving the word, acting, and walking in Yahweh’s way.</w:t>
      </w:r>
    </w:p>
    <w:p>
      <w:pPr/>
      <w:r>
        <w:rPr>
          <w:i w:val="0"/>
        </w:rPr>
        <w:t>Blood and anointing oil are then sprinkled on priests and garments. Sacrificial atonement and setting apart for holy service are deliberately joined.</w:t>
      </w:r>
    </w:p>
    <w:p>
      <w:pPr>
        <w:pStyle w:val="Heading2"/>
      </w:pPr>
      <w:r>
        <w:t>Exodus 29:22–28 — hands filled for service</w:t>
      </w:r>
    </w:p>
    <w:p>
      <w:pPr/>
      <w:r>
        <w:rPr>
          <w:i w:val="0"/>
        </w:rPr>
        <w:t>Fat portions, the right thigh/shoulder and unleavened foods are placed on the hands of Aaron and his sons and waved before Yahweh. This visually enacts the “filling of the hand” that underlies the Hebrew idiom for priestly installation.</w:t>
      </w:r>
    </w:p>
    <w:p>
      <w:pPr/>
      <w:r>
        <w:rPr>
          <w:i w:val="0"/>
        </w:rPr>
        <w:t>Tenuphah, wave offering, and terumah, contribution/heave offering, designate ritual presentations to Yahweh. The priestly portions also show that Yahweh provides for those appointed to sanctuary service.</w:t>
      </w:r>
    </w:p>
    <w:p>
      <w:pPr>
        <w:pStyle w:val="Heading1"/>
      </w:pPr>
      <w:r>
        <w:t>SEVEN DAYS OF INSTALLATION — EXODUS 29:29–37</w:t>
      </w:r>
    </w:p>
    <w:p>
      <w:pPr>
        <w:pStyle w:val="Heading2"/>
      </w:pPr>
      <w:r>
        <w:t>Exodus 29:29–34 — garments and consecration meal</w:t>
      </w:r>
    </w:p>
    <w:p>
      <w:pPr/>
      <w:r>
        <w:rPr>
          <w:i w:val="0"/>
        </w:rPr>
        <w:t>Aaron’s holy garments pass to his priestly successor. The successor wears them seven days when entering the office. The ram of installation is cooked and eaten by Aaron and his sons at the sanctuary entrance; outsiders may not eat because it is holy.</w:t>
      </w:r>
    </w:p>
    <w:p>
      <w:pPr/>
      <w:r>
        <w:rPr>
          <w:i w:val="0"/>
        </w:rPr>
        <w:t>Any remainder is burned rather than treated as common leftovers. Fellowship arising from sacrifice remains governed by holiness.</w:t>
      </w:r>
    </w:p>
    <w:p>
      <w:pPr>
        <w:pStyle w:val="Heading2"/>
      </w:pPr>
      <w:r>
        <w:t>Exodus 29:35–37 — seven-day consecration and most-holy altar</w:t>
      </w:r>
    </w:p>
    <w:p>
      <w:pPr/>
      <w:r>
        <w:rPr>
          <w:i w:val="0"/>
        </w:rPr>
        <w:t>The installation rite runs for seven days, with a bull offered daily for atonement and the altar purified/anointed. Mansfield’s use of seven as completeness is a traditional biblical-symbolic observation, but the direct text requires a full seven-day consecration period.</w:t>
      </w:r>
    </w:p>
    <w:p>
      <w:pPr/>
      <w:r>
        <w:rPr>
          <w:i w:val="0"/>
        </w:rPr>
        <w:t>“Whatsoever toucheth the altar shall be holy” means contact with the most-holy altar brings the object/person within a holy sphere requiring appropriate treatment; it is not a magical transmission of moral righteousness.</w:t>
      </w:r>
    </w:p>
    <w:p>
      <w:pPr>
        <w:pStyle w:val="Heading1"/>
      </w:pPr>
      <w:r>
        <w:t>THE CONTINUAL BURNT OFFERING — EXODUS 29:38–46</w:t>
      </w:r>
    </w:p>
    <w:p>
      <w:pPr>
        <w:pStyle w:val="Heading2"/>
      </w:pPr>
      <w:r>
        <w:t>Exodus 29:38–42 — morning and evening lambs</w:t>
      </w:r>
    </w:p>
    <w:p>
      <w:pPr/>
      <w:r>
        <w:rPr>
          <w:i w:val="0"/>
        </w:rPr>
        <w:t>Two year-old lambs are offered every day, one morning and one “between the evenings”/evening, with flour, oil and wine. This is the continual burnt offering, ‘olat tamid, framing Israel’s daily sanctuary worship.</w:t>
      </w:r>
    </w:p>
    <w:p>
      <w:pPr/>
      <w:r>
        <w:rPr>
          <w:i w:val="0"/>
        </w:rPr>
        <w:t>Regular devotion is built into the rhythm of the nation; sustained service is valued over occasional intensity.</w:t>
      </w:r>
    </w:p>
    <w:p>
      <w:pPr>
        <w:pStyle w:val="Heading2"/>
      </w:pPr>
      <w:r>
        <w:t>Exodus 29:42–46 — Yahweh meets, sanctifies and dwells</w:t>
      </w:r>
    </w:p>
    <w:p>
      <w:pPr/>
      <w:r>
        <w:rPr>
          <w:i w:val="0"/>
        </w:rPr>
        <w:t>Yahweh promises to meet Israel at the Tent entrance, sanctify the tabernacle, altar and priests by His glory, and dwell among the children of Israel.</w:t>
      </w:r>
    </w:p>
    <w:p>
      <w:pPr/>
      <w:r>
        <w:rPr>
          <w:i w:val="0"/>
        </w:rPr>
        <w:t>The final explanation gives the theological purpose of the Exodus: “I brought them forth out of the land of Egypt, that I may dwell among them.” Redemption leads to fellowship and Divine dwelling.</w:t>
      </w:r>
    </w:p>
    <w:p>
      <w:pPr>
        <w:pStyle w:val="Heading1"/>
      </w:pPr>
      <w:r>
        <w:t>PRINCIPAL THEMES</w:t>
      </w:r>
    </w:p>
    <w:p>
      <w:pPr>
        <w:ind w:left="259" w:hanging="202"/>
      </w:pPr>
      <w:r>
        <w:rPr>
          <w:b/>
        </w:rPr>
        <w:t xml:space="preserve">• </w:t>
      </w:r>
      <w:r>
        <w:t>Priests must themselves receive cleansing and atonement before representing others.</w:t>
      </w:r>
    </w:p>
    <w:p>
      <w:pPr>
        <w:ind w:left="259" w:hanging="202"/>
      </w:pPr>
      <w:r>
        <w:rPr>
          <w:b/>
        </w:rPr>
        <w:t xml:space="preserve">• </w:t>
      </w:r>
      <w:r>
        <w:t>Consecration involves washing, clothing, anointing and installation according to Yahweh’s order.</w:t>
      </w:r>
    </w:p>
    <w:p>
      <w:pPr>
        <w:ind w:left="259" w:hanging="202"/>
      </w:pPr>
      <w:r>
        <w:rPr>
          <w:b/>
        </w:rPr>
        <w:t xml:space="preserve">• </w:t>
      </w:r>
      <w:r>
        <w:t>The sin offering acknowledges guilt; the burnt offering expresses total dedication.</w:t>
      </w:r>
    </w:p>
    <w:p>
      <w:pPr>
        <w:ind w:left="259" w:hanging="202"/>
      </w:pPr>
      <w:r>
        <w:rPr>
          <w:b/>
        </w:rPr>
        <w:t xml:space="preserve">• </w:t>
      </w:r>
      <w:r>
        <w:t>Ear, hand and foot provide a strong pattern of hearing, doing and walking in consecrated service.</w:t>
      </w:r>
    </w:p>
    <w:p>
      <w:pPr>
        <w:ind w:left="259" w:hanging="202"/>
      </w:pPr>
      <w:r>
        <w:rPr>
          <w:b/>
        </w:rPr>
        <w:t xml:space="preserve">• </w:t>
      </w:r>
      <w:r>
        <w:t>“Fill the hand” is the Hebrew idiom of priestly installation.</w:t>
      </w:r>
    </w:p>
    <w:p>
      <w:pPr>
        <w:ind w:left="259" w:hanging="202"/>
      </w:pPr>
      <w:r>
        <w:rPr>
          <w:b/>
        </w:rPr>
        <w:t xml:space="preserve">• </w:t>
      </w:r>
      <w:r>
        <w:t>Continual worship requires regular, sustained dedication.</w:t>
      </w:r>
    </w:p>
    <w:p>
      <w:pPr>
        <w:ind w:left="259" w:hanging="202"/>
      </w:pPr>
      <w:r>
        <w:rPr>
          <w:b/>
        </w:rPr>
        <w:t xml:space="preserve">• </w:t>
      </w:r>
      <w:r>
        <w:t>The goal of priesthood and sanctuary is Yahweh dwelling among His redeemed people.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29:4</w:t>
            </w:r>
          </w:p>
        </w:tc>
        <w:tc>
          <w:tcPr>
            <w:tcW w:type="dxa" w:w="3561"/>
            <w:vAlign w:val="top"/>
          </w:tcPr>
          <w:p>
            <w:pPr>
              <w:spacing w:after="0"/>
            </w:pPr>
            <w:r>
              <w:rPr>
                <w:rFonts w:ascii="Times New Roman" w:hAnsi="Times New Roman"/>
                <w:sz w:val="14"/>
              </w:rPr>
              <w:t>washing</w:t>
            </w:r>
          </w:p>
        </w:tc>
        <w:tc>
          <w:tcPr>
            <w:tcW w:type="dxa" w:w="3561"/>
            <w:vAlign w:val="top"/>
          </w:tcPr>
          <w:p>
            <w:pPr>
              <w:spacing w:after="0"/>
            </w:pPr>
            <w:r>
              <w:rPr>
                <w:rFonts w:ascii="Times New Roman" w:hAnsi="Times New Roman"/>
                <w:sz w:val="14"/>
              </w:rPr>
              <w:t>Ceremonial cleansing precedes priestly service.</w:t>
            </w:r>
          </w:p>
        </w:tc>
      </w:tr>
      <w:tr>
        <w:tc>
          <w:tcPr>
            <w:tcW w:type="dxa" w:w="3561"/>
            <w:vAlign w:val="top"/>
          </w:tcPr>
          <w:p>
            <w:pPr>
              <w:spacing w:after="0"/>
            </w:pPr>
            <w:r>
              <w:rPr>
                <w:rFonts w:ascii="Times New Roman" w:hAnsi="Times New Roman"/>
                <w:sz w:val="14"/>
              </w:rPr>
              <w:t>Ex. 29:9</w:t>
            </w:r>
          </w:p>
        </w:tc>
        <w:tc>
          <w:tcPr>
            <w:tcW w:type="dxa" w:w="3561"/>
            <w:vAlign w:val="top"/>
          </w:tcPr>
          <w:p>
            <w:pPr>
              <w:spacing w:after="0"/>
            </w:pPr>
            <w:r>
              <w:rPr>
                <w:rFonts w:ascii="Times New Roman" w:hAnsi="Times New Roman"/>
                <w:sz w:val="14"/>
              </w:rPr>
              <w:t>mille’ yad</w:t>
            </w:r>
          </w:p>
        </w:tc>
        <w:tc>
          <w:tcPr>
            <w:tcW w:type="dxa" w:w="3561"/>
            <w:vAlign w:val="top"/>
          </w:tcPr>
          <w:p>
            <w:pPr>
              <w:spacing w:after="0"/>
            </w:pPr>
            <w:r>
              <w:rPr>
                <w:rFonts w:ascii="Times New Roman" w:hAnsi="Times New Roman"/>
                <w:sz w:val="14"/>
              </w:rPr>
              <w:t>“Fill the hand”: install/consecrate to priestly office.</w:t>
            </w:r>
          </w:p>
        </w:tc>
      </w:tr>
      <w:tr>
        <w:tc>
          <w:tcPr>
            <w:tcW w:type="dxa" w:w="3561"/>
            <w:vAlign w:val="top"/>
          </w:tcPr>
          <w:p>
            <w:pPr>
              <w:spacing w:after="0"/>
            </w:pPr>
            <w:r>
              <w:rPr>
                <w:rFonts w:ascii="Times New Roman" w:hAnsi="Times New Roman"/>
                <w:sz w:val="14"/>
              </w:rPr>
              <w:t>Ex. 29:10–14</w:t>
            </w:r>
          </w:p>
        </w:tc>
        <w:tc>
          <w:tcPr>
            <w:tcW w:type="dxa" w:w="3561"/>
            <w:vAlign w:val="top"/>
          </w:tcPr>
          <w:p>
            <w:pPr>
              <w:spacing w:after="0"/>
            </w:pPr>
            <w:r>
              <w:rPr>
                <w:rFonts w:ascii="Times New Roman" w:hAnsi="Times New Roman"/>
                <w:sz w:val="14"/>
              </w:rPr>
              <w:t>sin offering</w:t>
            </w:r>
          </w:p>
        </w:tc>
        <w:tc>
          <w:tcPr>
            <w:tcW w:type="dxa" w:w="3561"/>
            <w:vAlign w:val="top"/>
          </w:tcPr>
          <w:p>
            <w:pPr>
              <w:spacing w:after="0"/>
            </w:pPr>
            <w:r>
              <w:rPr>
                <w:rFonts w:ascii="Times New Roman" w:hAnsi="Times New Roman"/>
                <w:sz w:val="14"/>
              </w:rPr>
              <w:t>Priests’ own need for atonement acknowledged.</w:t>
            </w:r>
          </w:p>
        </w:tc>
      </w:tr>
      <w:tr>
        <w:tc>
          <w:tcPr>
            <w:tcW w:type="dxa" w:w="3561"/>
            <w:vAlign w:val="top"/>
          </w:tcPr>
          <w:p>
            <w:pPr>
              <w:spacing w:after="0"/>
            </w:pPr>
            <w:r>
              <w:rPr>
                <w:rFonts w:ascii="Times New Roman" w:hAnsi="Times New Roman"/>
                <w:sz w:val="14"/>
              </w:rPr>
              <w:t>Heb. 13:11–13</w:t>
            </w:r>
          </w:p>
        </w:tc>
        <w:tc>
          <w:tcPr>
            <w:tcW w:type="dxa" w:w="3561"/>
            <w:vAlign w:val="top"/>
          </w:tcPr>
          <w:p>
            <w:pPr>
              <w:spacing w:after="0"/>
            </w:pPr>
            <w:r>
              <w:rPr>
                <w:rFonts w:ascii="Times New Roman" w:hAnsi="Times New Roman"/>
                <w:sz w:val="14"/>
              </w:rPr>
              <w:t>outside the camp</w:t>
            </w:r>
          </w:p>
        </w:tc>
        <w:tc>
          <w:tcPr>
            <w:tcW w:type="dxa" w:w="3561"/>
            <w:vAlign w:val="top"/>
          </w:tcPr>
          <w:p>
            <w:pPr>
              <w:spacing w:after="0"/>
            </w:pPr>
            <w:r>
              <w:rPr>
                <w:rFonts w:ascii="Times New Roman" w:hAnsi="Times New Roman"/>
                <w:sz w:val="14"/>
              </w:rPr>
              <w:t>NT explicitly reuses sin-offering disposal imagery.</w:t>
            </w:r>
          </w:p>
        </w:tc>
      </w:tr>
      <w:tr>
        <w:tc>
          <w:tcPr>
            <w:tcW w:type="dxa" w:w="3561"/>
            <w:vAlign w:val="top"/>
          </w:tcPr>
          <w:p>
            <w:pPr>
              <w:spacing w:after="0"/>
            </w:pPr>
            <w:r>
              <w:rPr>
                <w:rFonts w:ascii="Times New Roman" w:hAnsi="Times New Roman"/>
                <w:sz w:val="14"/>
              </w:rPr>
              <w:t>Ex. 29:18</w:t>
            </w:r>
          </w:p>
        </w:tc>
        <w:tc>
          <w:tcPr>
            <w:tcW w:type="dxa" w:w="3561"/>
            <w:vAlign w:val="top"/>
          </w:tcPr>
          <w:p>
            <w:pPr>
              <w:spacing w:after="0"/>
            </w:pPr>
            <w:r>
              <w:rPr>
                <w:rFonts w:ascii="Times New Roman" w:hAnsi="Times New Roman"/>
                <w:sz w:val="14"/>
              </w:rPr>
              <w:t>re’ach nichoach</w:t>
            </w:r>
          </w:p>
        </w:tc>
        <w:tc>
          <w:tcPr>
            <w:tcW w:type="dxa" w:w="3561"/>
            <w:vAlign w:val="top"/>
          </w:tcPr>
          <w:p>
            <w:pPr>
              <w:spacing w:after="0"/>
            </w:pPr>
            <w:r>
              <w:rPr>
                <w:rFonts w:ascii="Times New Roman" w:hAnsi="Times New Roman"/>
                <w:sz w:val="14"/>
              </w:rPr>
              <w:t>Pleasing/restful aroma; covenant acceptance language.</w:t>
            </w:r>
          </w:p>
        </w:tc>
      </w:tr>
      <w:tr>
        <w:tc>
          <w:tcPr>
            <w:tcW w:type="dxa" w:w="3561"/>
            <w:vAlign w:val="top"/>
          </w:tcPr>
          <w:p>
            <w:pPr>
              <w:spacing w:after="0"/>
            </w:pPr>
            <w:r>
              <w:rPr>
                <w:rFonts w:ascii="Times New Roman" w:hAnsi="Times New Roman"/>
                <w:sz w:val="14"/>
              </w:rPr>
              <w:t>Ex. 29:20</w:t>
            </w:r>
          </w:p>
        </w:tc>
        <w:tc>
          <w:tcPr>
            <w:tcW w:type="dxa" w:w="3561"/>
            <w:vAlign w:val="top"/>
          </w:tcPr>
          <w:p>
            <w:pPr>
              <w:spacing w:after="0"/>
            </w:pPr>
            <w:r>
              <w:rPr>
                <w:rFonts w:ascii="Times New Roman" w:hAnsi="Times New Roman"/>
                <w:sz w:val="14"/>
              </w:rPr>
              <w:t>right ear/thumb/toe</w:t>
            </w:r>
          </w:p>
        </w:tc>
        <w:tc>
          <w:tcPr>
            <w:tcW w:type="dxa" w:w="3561"/>
            <w:vAlign w:val="top"/>
          </w:tcPr>
          <w:p>
            <w:pPr>
              <w:spacing w:after="0"/>
            </w:pPr>
            <w:r>
              <w:rPr>
                <w:rFonts w:ascii="Times New Roman" w:hAnsi="Times New Roman"/>
                <w:sz w:val="14"/>
              </w:rPr>
              <w:t>Literal rite; hearing/doing/walking is typological application.</w:t>
            </w:r>
          </w:p>
        </w:tc>
      </w:tr>
      <w:tr>
        <w:tc>
          <w:tcPr>
            <w:tcW w:type="dxa" w:w="3561"/>
            <w:vAlign w:val="top"/>
          </w:tcPr>
          <w:p>
            <w:pPr>
              <w:spacing w:after="0"/>
            </w:pPr>
            <w:r>
              <w:rPr>
                <w:rFonts w:ascii="Times New Roman" w:hAnsi="Times New Roman"/>
                <w:sz w:val="14"/>
              </w:rPr>
              <w:t>Ex. 29:21</w:t>
            </w:r>
          </w:p>
        </w:tc>
        <w:tc>
          <w:tcPr>
            <w:tcW w:type="dxa" w:w="3561"/>
            <w:vAlign w:val="top"/>
          </w:tcPr>
          <w:p>
            <w:pPr>
              <w:spacing w:after="0"/>
            </w:pPr>
            <w:r>
              <w:rPr>
                <w:rFonts w:ascii="Times New Roman" w:hAnsi="Times New Roman"/>
                <w:sz w:val="14"/>
              </w:rPr>
              <w:t>blood + oil</w:t>
            </w:r>
          </w:p>
        </w:tc>
        <w:tc>
          <w:tcPr>
            <w:tcW w:type="dxa" w:w="3561"/>
            <w:vAlign w:val="top"/>
          </w:tcPr>
          <w:p>
            <w:pPr>
              <w:spacing w:after="0"/>
            </w:pPr>
            <w:r>
              <w:rPr>
                <w:rFonts w:ascii="Times New Roman" w:hAnsi="Times New Roman"/>
                <w:sz w:val="14"/>
              </w:rPr>
              <w:t>Atonement and sanctification joined in consecration.</w:t>
            </w:r>
          </w:p>
        </w:tc>
      </w:tr>
      <w:tr>
        <w:tc>
          <w:tcPr>
            <w:tcW w:type="dxa" w:w="3561"/>
            <w:vAlign w:val="top"/>
          </w:tcPr>
          <w:p>
            <w:pPr>
              <w:spacing w:after="0"/>
            </w:pPr>
            <w:r>
              <w:rPr>
                <w:rFonts w:ascii="Times New Roman" w:hAnsi="Times New Roman"/>
                <w:sz w:val="14"/>
              </w:rPr>
              <w:t>Ex. 29:24</w:t>
            </w:r>
          </w:p>
        </w:tc>
        <w:tc>
          <w:tcPr>
            <w:tcW w:type="dxa" w:w="3561"/>
            <w:vAlign w:val="top"/>
          </w:tcPr>
          <w:p>
            <w:pPr>
              <w:spacing w:after="0"/>
            </w:pPr>
            <w:r>
              <w:rPr>
                <w:rFonts w:ascii="Times New Roman" w:hAnsi="Times New Roman"/>
                <w:sz w:val="14"/>
              </w:rPr>
              <w:t>hands filled</w:t>
            </w:r>
          </w:p>
        </w:tc>
        <w:tc>
          <w:tcPr>
            <w:tcW w:type="dxa" w:w="3561"/>
            <w:vAlign w:val="top"/>
          </w:tcPr>
          <w:p>
            <w:pPr>
              <w:spacing w:after="0"/>
            </w:pPr>
            <w:r>
              <w:rPr>
                <w:rFonts w:ascii="Times New Roman" w:hAnsi="Times New Roman"/>
                <w:sz w:val="14"/>
              </w:rPr>
              <w:t>Ritual act plays on consecration/installing idiom.</w:t>
            </w:r>
          </w:p>
        </w:tc>
      </w:tr>
      <w:tr>
        <w:tc>
          <w:tcPr>
            <w:tcW w:type="dxa" w:w="3561"/>
            <w:vAlign w:val="top"/>
          </w:tcPr>
          <w:p>
            <w:pPr>
              <w:spacing w:after="0"/>
            </w:pPr>
            <w:r>
              <w:rPr>
                <w:rFonts w:ascii="Times New Roman" w:hAnsi="Times New Roman"/>
                <w:sz w:val="14"/>
              </w:rPr>
              <w:t>Ex. 29:24</w:t>
            </w:r>
          </w:p>
        </w:tc>
        <w:tc>
          <w:tcPr>
            <w:tcW w:type="dxa" w:w="3561"/>
            <w:vAlign w:val="top"/>
          </w:tcPr>
          <w:p>
            <w:pPr>
              <w:spacing w:after="0"/>
            </w:pPr>
            <w:r>
              <w:rPr>
                <w:rFonts w:ascii="Times New Roman" w:hAnsi="Times New Roman"/>
                <w:sz w:val="14"/>
              </w:rPr>
              <w:t>tenuphah</w:t>
            </w:r>
          </w:p>
        </w:tc>
        <w:tc>
          <w:tcPr>
            <w:tcW w:type="dxa" w:w="3561"/>
            <w:vAlign w:val="top"/>
          </w:tcPr>
          <w:p>
            <w:pPr>
              <w:spacing w:after="0"/>
            </w:pPr>
            <w:r>
              <w:rPr>
                <w:rFonts w:ascii="Times New Roman" w:hAnsi="Times New Roman"/>
                <w:sz w:val="14"/>
              </w:rPr>
              <w:t>Wave/presentation offering.</w:t>
            </w:r>
          </w:p>
        </w:tc>
      </w:tr>
      <w:tr>
        <w:tc>
          <w:tcPr>
            <w:tcW w:type="dxa" w:w="3561"/>
            <w:vAlign w:val="top"/>
          </w:tcPr>
          <w:p>
            <w:pPr>
              <w:spacing w:after="0"/>
            </w:pPr>
            <w:r>
              <w:rPr>
                <w:rFonts w:ascii="Times New Roman" w:hAnsi="Times New Roman"/>
                <w:sz w:val="14"/>
              </w:rPr>
              <w:t>Ex. 29:27</w:t>
            </w:r>
          </w:p>
        </w:tc>
        <w:tc>
          <w:tcPr>
            <w:tcW w:type="dxa" w:w="3561"/>
            <w:vAlign w:val="top"/>
          </w:tcPr>
          <w:p>
            <w:pPr>
              <w:spacing w:after="0"/>
            </w:pPr>
            <w:r>
              <w:rPr>
                <w:rFonts w:ascii="Times New Roman" w:hAnsi="Times New Roman"/>
                <w:sz w:val="14"/>
              </w:rPr>
              <w:t>terumah</w:t>
            </w:r>
          </w:p>
        </w:tc>
        <w:tc>
          <w:tcPr>
            <w:tcW w:type="dxa" w:w="3561"/>
            <w:vAlign w:val="top"/>
          </w:tcPr>
          <w:p>
            <w:pPr>
              <w:spacing w:after="0"/>
            </w:pPr>
            <w:r>
              <w:rPr>
                <w:rFonts w:ascii="Times New Roman" w:hAnsi="Times New Roman"/>
                <w:sz w:val="14"/>
              </w:rPr>
              <w:t>Contribution/heave offering.</w:t>
            </w:r>
          </w:p>
        </w:tc>
      </w:tr>
      <w:tr>
        <w:tc>
          <w:tcPr>
            <w:tcW w:type="dxa" w:w="3561"/>
            <w:vAlign w:val="top"/>
          </w:tcPr>
          <w:p>
            <w:pPr>
              <w:spacing w:after="0"/>
            </w:pPr>
            <w:r>
              <w:rPr>
                <w:rFonts w:ascii="Times New Roman" w:hAnsi="Times New Roman"/>
                <w:sz w:val="14"/>
              </w:rPr>
              <w:t>Ex. 29:30</w:t>
            </w:r>
          </w:p>
        </w:tc>
        <w:tc>
          <w:tcPr>
            <w:tcW w:type="dxa" w:w="3561"/>
            <w:vAlign w:val="top"/>
          </w:tcPr>
          <w:p>
            <w:pPr>
              <w:spacing w:after="0"/>
            </w:pPr>
            <w:r>
              <w:rPr>
                <w:rFonts w:ascii="Times New Roman" w:hAnsi="Times New Roman"/>
                <w:sz w:val="14"/>
              </w:rPr>
              <w:t>seven days</w:t>
            </w:r>
          </w:p>
        </w:tc>
        <w:tc>
          <w:tcPr>
            <w:tcW w:type="dxa" w:w="3561"/>
            <w:vAlign w:val="top"/>
          </w:tcPr>
          <w:p>
            <w:pPr>
              <w:spacing w:after="0"/>
            </w:pPr>
            <w:r>
              <w:rPr>
                <w:rFonts w:ascii="Times New Roman" w:hAnsi="Times New Roman"/>
                <w:sz w:val="14"/>
              </w:rPr>
              <w:t>Successor wears garments through installation period.</w:t>
            </w:r>
          </w:p>
        </w:tc>
      </w:tr>
      <w:tr>
        <w:tc>
          <w:tcPr>
            <w:tcW w:type="dxa" w:w="3561"/>
            <w:vAlign w:val="top"/>
          </w:tcPr>
          <w:p>
            <w:pPr>
              <w:spacing w:after="0"/>
            </w:pPr>
            <w:r>
              <w:rPr>
                <w:rFonts w:ascii="Times New Roman" w:hAnsi="Times New Roman"/>
                <w:sz w:val="14"/>
              </w:rPr>
              <w:t>Ex. 29:37</w:t>
            </w:r>
          </w:p>
        </w:tc>
        <w:tc>
          <w:tcPr>
            <w:tcW w:type="dxa" w:w="3561"/>
            <w:vAlign w:val="top"/>
          </w:tcPr>
          <w:p>
            <w:pPr>
              <w:spacing w:after="0"/>
            </w:pPr>
            <w:r>
              <w:rPr>
                <w:rFonts w:ascii="Times New Roman" w:hAnsi="Times New Roman"/>
                <w:sz w:val="14"/>
              </w:rPr>
              <w:t>most holy altar</w:t>
            </w:r>
          </w:p>
        </w:tc>
        <w:tc>
          <w:tcPr>
            <w:tcW w:type="dxa" w:w="3561"/>
            <w:vAlign w:val="top"/>
          </w:tcPr>
          <w:p>
            <w:pPr>
              <w:spacing w:after="0"/>
            </w:pPr>
            <w:r>
              <w:rPr>
                <w:rFonts w:ascii="Times New Roman" w:hAnsi="Times New Roman"/>
                <w:sz w:val="14"/>
              </w:rPr>
              <w:t>Contact implies holy status/requirements, not magical moral change.</w:t>
            </w:r>
          </w:p>
        </w:tc>
      </w:tr>
      <w:tr>
        <w:tc>
          <w:tcPr>
            <w:tcW w:type="dxa" w:w="3561"/>
            <w:vAlign w:val="top"/>
          </w:tcPr>
          <w:p>
            <w:pPr>
              <w:spacing w:after="0"/>
            </w:pPr>
            <w:r>
              <w:rPr>
                <w:rFonts w:ascii="Times New Roman" w:hAnsi="Times New Roman"/>
                <w:sz w:val="14"/>
              </w:rPr>
              <w:t>Ex. 29:38–42</w:t>
            </w:r>
          </w:p>
        </w:tc>
        <w:tc>
          <w:tcPr>
            <w:tcW w:type="dxa" w:w="3561"/>
            <w:vAlign w:val="top"/>
          </w:tcPr>
          <w:p>
            <w:pPr>
              <w:spacing w:after="0"/>
            </w:pPr>
            <w:r>
              <w:rPr>
                <w:rFonts w:ascii="Times New Roman" w:hAnsi="Times New Roman"/>
                <w:sz w:val="14"/>
              </w:rPr>
              <w:t>‘olat tamid</w:t>
            </w:r>
          </w:p>
        </w:tc>
        <w:tc>
          <w:tcPr>
            <w:tcW w:type="dxa" w:w="3561"/>
            <w:vAlign w:val="top"/>
          </w:tcPr>
          <w:p>
            <w:pPr>
              <w:spacing w:after="0"/>
            </w:pPr>
            <w:r>
              <w:rPr>
                <w:rFonts w:ascii="Times New Roman" w:hAnsi="Times New Roman"/>
                <w:sz w:val="14"/>
              </w:rPr>
              <w:t>Continual burnt offering: daily morning/evening service.</w:t>
            </w:r>
          </w:p>
        </w:tc>
      </w:tr>
      <w:tr>
        <w:tc>
          <w:tcPr>
            <w:tcW w:type="dxa" w:w="3561"/>
            <w:vAlign w:val="top"/>
          </w:tcPr>
          <w:p>
            <w:pPr>
              <w:spacing w:after="0"/>
            </w:pPr>
            <w:r>
              <w:rPr>
                <w:rFonts w:ascii="Times New Roman" w:hAnsi="Times New Roman"/>
                <w:sz w:val="14"/>
              </w:rPr>
              <w:t>Ex. 29:45–46</w:t>
            </w:r>
          </w:p>
        </w:tc>
        <w:tc>
          <w:tcPr>
            <w:tcW w:type="dxa" w:w="3561"/>
            <w:vAlign w:val="top"/>
          </w:tcPr>
          <w:p>
            <w:pPr>
              <w:spacing w:after="0"/>
            </w:pPr>
            <w:r>
              <w:rPr>
                <w:rFonts w:ascii="Times New Roman" w:hAnsi="Times New Roman"/>
                <w:sz w:val="14"/>
              </w:rPr>
              <w:t>dwell among Israel</w:t>
            </w:r>
          </w:p>
        </w:tc>
        <w:tc>
          <w:tcPr>
            <w:tcW w:type="dxa" w:w="3561"/>
            <w:vAlign w:val="top"/>
          </w:tcPr>
          <w:p>
            <w:pPr>
              <w:spacing w:after="0"/>
            </w:pPr>
            <w:r>
              <w:rPr>
                <w:rFonts w:ascii="Times New Roman" w:hAnsi="Times New Roman"/>
                <w:sz w:val="14"/>
              </w:rPr>
              <w:t>Exodus purpose culminates in covenant dwelling.</w:t>
            </w:r>
          </w:p>
        </w:tc>
      </w:tr>
    </w:tbl>
    <w:p>
      <w:pPr>
        <w:pStyle w:val="Heading1"/>
      </w:pPr>
      <w:r>
        <w:t>RESIDUAL UNCERTAINTIES</w:t>
      </w:r>
    </w:p>
    <w:p>
      <w:pPr/>
      <w:r>
        <w:rPr>
          <w:i w:val="0"/>
        </w:rPr>
        <w:t>The exact ritual mechanics of wave/heave motions are not fully described here, and several food/measurement details are developed elsewhere in Torah. Mansfield’s hearing/doing/walking symbolism and numerical significance of seven are retained as typology, not as lexical definitions.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4" w:after="15"/>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5" w:after="15"/>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