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30</w:t>
      </w:r>
    </w:p>
    <w:p>
      <w:pPr>
        <w:pStyle w:val="Subtitle"/>
      </w:pPr>
      <w:r>
        <w:t>GOLDEN INCENSE ALTAR • HALF-SHEKEL RANSOM • BRONZE LAVER • HOLY ANOINTING OIL • HOLY INCENSE • WORSHIP RESERVED FOR YAHWEH</w:t>
      </w:r>
    </w:p>
    <w:p>
      <w:pPr/>
      <w:r>
        <w:rPr>
          <w:i/>
        </w:rPr>
        <w:t>H. P. Mansfield Bible notes — checked and arranged in verse-by-verse Expositor style</w:t>
      </w:r>
    </w:p>
    <w:p>
      <w:pPr/>
      <w:r>
        <w:rPr>
          <w:i w:val="0"/>
        </w:rPr>
        <w:t>Source: HPB 02-Gen42-Lev11.pdf, principally Exodus 30 photographed pages 66–67</w:t>
      </w:r>
    </w:p>
    <w:p>
      <w:pPr>
        <w:pStyle w:val="Heading1"/>
      </w:pPr>
      <w:r>
        <w:t>CHAPTER OVERVIEW</w:t>
      </w:r>
    </w:p>
    <w:p>
      <w:pPr/>
      <w:r>
        <w:rPr>
          <w:i w:val="0"/>
        </w:rPr>
        <w:t>Exodus 30 adds the furniture and compounds required for continual priestly approach: incense altar, census ransom, laver, anointing oil and incense. The repeated distinction is between holy and common use.</w:t>
      </w:r>
    </w:p>
    <w:p>
      <w:pPr/>
      <w:r>
        <w:rPr>
          <w:i w:val="0"/>
        </w:rPr>
        <w:t>Prayer, redemption, cleansing and sanctification are joined. No element may be copied, improvised or used for personal gratification simply because it is attractive; what Yahweh sanctifies belongs to His appointed worship.</w:t>
      </w:r>
    </w:p>
    <w:p>
      <w:pPr>
        <w:pStyle w:val="Heading1"/>
      </w:pPr>
      <w:r>
        <w:t>THE GOLDEN ALTAR OF INCENSE — EXODUS 30:1–10</w:t>
      </w:r>
    </w:p>
    <w:p>
      <w:pPr>
        <w:pStyle w:val="Heading2"/>
      </w:pPr>
      <w:r>
        <w:t>Exodus 30:1–6 — a golden altar before the veil</w:t>
      </w:r>
    </w:p>
    <w:p>
      <w:pPr/>
      <w:r>
        <w:rPr>
          <w:i w:val="0"/>
        </w:rPr>
        <w:t>The incense altar is acacia wood overlaid with pure gold, with integral horns and a gold zer, rim/border. It stands before the veil, in close relation to the ark and kapporeth beyond it.</w:t>
      </w:r>
    </w:p>
    <w:p>
      <w:pPr/>
      <w:r>
        <w:rPr>
          <w:i w:val="0"/>
        </w:rPr>
        <w:t>The spatial language does not place it inside the Most Holy; it stands in the Holy Place before the veil, aligned with the place of Divine meeting beyond.</w:t>
      </w:r>
    </w:p>
    <w:p>
      <w:pPr>
        <w:pStyle w:val="Heading2"/>
      </w:pPr>
      <w:r>
        <w:t>Exodus 30:7–10 — regular incense, no strange service</w:t>
      </w:r>
    </w:p>
    <w:p>
      <w:pPr/>
      <w:r>
        <w:rPr>
          <w:i w:val="0"/>
        </w:rPr>
        <w:t>Aaron burns qetoret sammim, fragrant incense, morning and evening in conjunction with tending the lamps. Psalm 141:2 explicitly compares prayer with incense, and Revelation 5:8; 8:3–4 makes the prayer/incense symbolism explicit.</w:t>
      </w:r>
    </w:p>
    <w:p>
      <w:pPr/>
      <w:r>
        <w:rPr>
          <w:i w:val="0"/>
        </w:rPr>
        <w:t>No qetoret zarah, strange/unauthorised incense, nor burnt, meal or drink offering belongs on this altar. Once yearly atonement blood is applied to its horns. Prayer is therefore represented within an atonement-governed sanctuary, not as self-created access to God.</w:t>
      </w:r>
    </w:p>
    <w:p>
      <w:pPr>
        <w:pStyle w:val="Heading1"/>
      </w:pPr>
      <w:r>
        <w:t>THE CENSUS RANSOM — EXODUS 30:11–16</w:t>
      </w:r>
    </w:p>
    <w:p>
      <w:pPr>
        <w:pStyle w:val="Heading2"/>
      </w:pPr>
      <w:r>
        <w:t>Exodus 30:11–13 — ransom for the nephesh</w:t>
      </w:r>
    </w:p>
    <w:p>
      <w:pPr/>
      <w:r>
        <w:rPr>
          <w:i w:val="0"/>
        </w:rPr>
        <w:t>When Israel is numbered, each counted male gives a kopher, ransom/atonement payment, for his nephesh, life/person, so that no plague accompanies the census. The verse does not teach purchase of an immortal soul; nephesh here is the person/life represented in the census.</w:t>
      </w:r>
    </w:p>
    <w:p>
      <w:pPr/>
      <w:r>
        <w:rPr>
          <w:i w:val="0"/>
        </w:rPr>
        <w:t>The amount is half a shekel by sanctuary standard. A half-shekel is called a beqa‘ in Exodus 38:26; twenty gerahs equal a shekel.</w:t>
      </w:r>
    </w:p>
    <w:p>
      <w:pPr>
        <w:pStyle w:val="Heading2"/>
      </w:pPr>
      <w:r>
        <w:t>Exodus 30:14–16 — rich and poor give the same</w:t>
      </w:r>
    </w:p>
    <w:p>
      <w:pPr/>
      <w:r>
        <w:rPr>
          <w:i w:val="0"/>
        </w:rPr>
        <w:t>The rich do not give more and the poor do not give less than the half-shekel ransom. The equality is theological: economic status cannot increase or reduce the covenant valuation represented by the ransom.</w:t>
      </w:r>
    </w:p>
    <w:p>
      <w:pPr/>
      <w:r>
        <w:rPr>
          <w:i w:val="0"/>
        </w:rPr>
        <w:t>The silver becomes a memorial before Yahweh for the service of the Tent of Meeting.</w:t>
      </w:r>
    </w:p>
    <w:p>
      <w:pPr>
        <w:pStyle w:val="Heading1"/>
      </w:pPr>
      <w:r>
        <w:t>THE BRONZE LAVER — EXODUS 30:17–21</w:t>
      </w:r>
    </w:p>
    <w:p>
      <w:pPr>
        <w:pStyle w:val="Heading2"/>
      </w:pPr>
      <w:r>
        <w:t>Exodus 30:17–21 — washing hands and feet</w:t>
      </w:r>
    </w:p>
    <w:p>
      <w:pPr/>
      <w:r>
        <w:rPr>
          <w:i w:val="0"/>
        </w:rPr>
        <w:t>The kiyyor, laver/basin, and its stand are made of nechosheth, bronze/copper, not modern brass. It stands between altar and Tent.</w:t>
      </w:r>
    </w:p>
    <w:p>
      <w:pPr/>
      <w:r>
        <w:rPr>
          <w:i w:val="0"/>
        </w:rPr>
        <w:t>Aaron and his sons wash hands and feet before entering the Tent or approaching the altar, “that they die not.” Mansfield’s works/walk application to hands and feet is useful typology; the literal command is repeated ritual cleansing required for priestly approach.</w:t>
      </w:r>
    </w:p>
    <w:p>
      <w:pPr>
        <w:pStyle w:val="Heading1"/>
      </w:pPr>
      <w:r>
        <w:t>THE HOLY ANOINTING OIL — EXODUS 30:22–33</w:t>
      </w:r>
    </w:p>
    <w:p>
      <w:pPr>
        <w:pStyle w:val="Heading2"/>
      </w:pPr>
      <w:r>
        <w:t>Exodus 30:22–25 — spices blended by a perfumer</w:t>
      </w:r>
    </w:p>
    <w:p>
      <w:pPr/>
      <w:r>
        <w:rPr>
          <w:i w:val="0"/>
        </w:rPr>
        <w:t>The oil combines mor deror, flowing/pure myrrh; fragrant cinnamon; qaneh bosem, aromatic cane/calamus; qiddah, cassia; and olive oil. Ancient botanical identifications are reasonably traditional but not equally certain in every detail.</w:t>
      </w:r>
    </w:p>
    <w:p>
      <w:pPr/>
      <w:r>
        <w:rPr>
          <w:i w:val="0"/>
        </w:rPr>
        <w:t>The KJV “apothecary” represents roqeah, a compounder/perfumer. The mixture is a sacred perfumed anointing oil prepared according to skilled formulation.</w:t>
      </w:r>
    </w:p>
    <w:p>
      <w:pPr>
        <w:pStyle w:val="Heading2"/>
      </w:pPr>
      <w:r>
        <w:t>Exodus 30:26–30 — sanctuary and priests anointed</w:t>
      </w:r>
    </w:p>
    <w:p>
      <w:pPr/>
      <w:r>
        <w:rPr>
          <w:i w:val="0"/>
        </w:rPr>
        <w:t>Tabernacle, ark, table, lampstand, both altars, laver and vessels are anointed, as are Aaron and his sons. Anointing sets persons and objects apart to Yahweh’s service.</w:t>
      </w:r>
    </w:p>
    <w:p>
      <w:pPr>
        <w:pStyle w:val="Heading2"/>
      </w:pPr>
      <w:r>
        <w:t>Exodus 30:31–33 — holy formula not copied for common use</w:t>
      </w:r>
    </w:p>
    <w:p>
      <w:pPr/>
      <w:r>
        <w:rPr>
          <w:i w:val="0"/>
        </w:rPr>
        <w:t>The sacred oil is not to be poured on ordinary human flesh in common use, and its formula is not to be reproduced as private perfume. Unauthorised imitation brings cutting off from the people.</w:t>
      </w:r>
    </w:p>
    <w:p>
      <w:pPr/>
      <w:r>
        <w:rPr>
          <w:i w:val="0"/>
        </w:rPr>
        <w:t>The prohibition is about profaning a holy compound by common duplication, not a ban on ordinary perfume-making with unrelated recipes.</w:t>
      </w:r>
    </w:p>
    <w:p>
      <w:pPr>
        <w:pStyle w:val="Heading1"/>
      </w:pPr>
      <w:r>
        <w:t>THE HOLY INCENSE — EXODUS 30:34–38</w:t>
      </w:r>
    </w:p>
    <w:p>
      <w:pPr>
        <w:pStyle w:val="Heading2"/>
      </w:pPr>
      <w:r>
        <w:t>Exodus 30:34–36 — four named aromatics</w:t>
      </w:r>
    </w:p>
    <w:p>
      <w:pPr/>
      <w:r>
        <w:rPr>
          <w:i w:val="0"/>
        </w:rPr>
        <w:t>Stacte (nataf), onycha (shecheleth), galbanum (chelbenah) and pure frankincense (levonah) are combined. The exact natural substances behind nataf and especially shecheleth are debated; traditional English names should not be treated as perfectly certain botanical identifications.</w:t>
      </w:r>
    </w:p>
    <w:p>
      <w:pPr/>
      <w:r>
        <w:rPr>
          <w:i w:val="0"/>
        </w:rPr>
        <w:t>Verse 35 describes a perfumer’s compound, “seasoned/salted, pure and holy” (memullach). A portion is beaten fine and placed before the Testimony where Yahweh meets with Israel.</w:t>
      </w:r>
    </w:p>
    <w:p>
      <w:pPr>
        <w:pStyle w:val="Heading2"/>
      </w:pPr>
      <w:r>
        <w:t>Exodus 30:37–38 — fragrance reserved for Yahweh</w:t>
      </w:r>
    </w:p>
    <w:p>
      <w:pPr/>
      <w:r>
        <w:rPr>
          <w:i w:val="0"/>
        </w:rPr>
        <w:t>The incense recipe must not be copied for personal enjoyment. Holy worship cannot be turned into private religious self-indulgence. The fragrance belongs to the God-appointed sanctuary context.</w:t>
      </w:r>
    </w:p>
    <w:p>
      <w:pPr>
        <w:pStyle w:val="Heading1"/>
      </w:pPr>
      <w:r>
        <w:t>PRAYER, RANSOM, CLEANSING AND SANCTIFICATION</w:t>
      </w:r>
    </w:p>
    <w:p>
      <w:pPr>
        <w:pStyle w:val="Heading2"/>
      </w:pPr>
      <w:r>
        <w:t>The chapter’s sequence</w:t>
      </w:r>
    </w:p>
    <w:p>
      <w:pPr/>
      <w:r>
        <w:rPr>
          <w:i w:val="0"/>
        </w:rPr>
        <w:t>Incense rises in prayer; ransom acknowledges the equal need of every counted Israelite; washing prepares priests for service; anointing separates; and the holy fragrance is reserved for Yahweh. Access is gracious but never casual.</w:t>
      </w:r>
    </w:p>
    <w:p>
      <w:pPr>
        <w:pStyle w:val="Heading1"/>
      </w:pPr>
      <w:r>
        <w:t>PRINCIPAL THEMES</w:t>
      </w:r>
    </w:p>
    <w:p>
      <w:pPr>
        <w:ind w:left="259" w:hanging="202"/>
      </w:pPr>
      <w:r>
        <w:rPr>
          <w:b/>
        </w:rPr>
        <w:t xml:space="preserve">• </w:t>
      </w:r>
      <w:r>
        <w:t>Acceptable prayer is represented within a sanctuary governed by atonement.</w:t>
      </w:r>
    </w:p>
    <w:p>
      <w:pPr>
        <w:ind w:left="259" w:hanging="202"/>
      </w:pPr>
      <w:r>
        <w:rPr>
          <w:b/>
        </w:rPr>
        <w:t xml:space="preserve">• </w:t>
      </w:r>
      <w:r>
        <w:t>Every counted Israelite stands equally in need of ransom.</w:t>
      </w:r>
    </w:p>
    <w:p>
      <w:pPr>
        <w:ind w:left="259" w:hanging="202"/>
      </w:pPr>
      <w:r>
        <w:rPr>
          <w:b/>
        </w:rPr>
        <w:t xml:space="preserve">• </w:t>
      </w:r>
      <w:r>
        <w:t>Nephesh in the census law means person/life, not an immortal entity.</w:t>
      </w:r>
    </w:p>
    <w:p>
      <w:pPr>
        <w:ind w:left="259" w:hanging="202"/>
      </w:pPr>
      <w:r>
        <w:rPr>
          <w:b/>
        </w:rPr>
        <w:t xml:space="preserve">• </w:t>
      </w:r>
      <w:r>
        <w:t>Priestly approach requires repeated cleansing.</w:t>
      </w:r>
    </w:p>
    <w:p>
      <w:pPr>
        <w:ind w:left="259" w:hanging="202"/>
      </w:pPr>
      <w:r>
        <w:rPr>
          <w:b/>
        </w:rPr>
        <w:t xml:space="preserve">• </w:t>
      </w:r>
      <w:r>
        <w:t>Sacred anointing distinguishes holy service from common use.</w:t>
      </w:r>
    </w:p>
    <w:p>
      <w:pPr>
        <w:ind w:left="259" w:hanging="202"/>
      </w:pPr>
      <w:r>
        <w:rPr>
          <w:b/>
        </w:rPr>
        <w:t xml:space="preserve">• </w:t>
      </w:r>
      <w:r>
        <w:t>Divinely appointed worship may not be copied merely for private aesthetic pleasure.</w:t>
      </w:r>
    </w:p>
    <w:p>
      <w:pPr>
        <w:ind w:left="259" w:hanging="202"/>
      </w:pPr>
      <w:r>
        <w:rPr>
          <w:b/>
        </w:rPr>
        <w:t xml:space="preserve">• </w:t>
      </w:r>
      <w:r>
        <w:t>Incense imagery is explicitly connected with prayer elsewhere in Scripture.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Ex. 30:1</w:t>
            </w:r>
          </w:p>
        </w:tc>
        <w:tc>
          <w:tcPr>
            <w:tcW w:type="dxa" w:w="3561"/>
            <w:vAlign w:val="top"/>
          </w:tcPr>
          <w:p>
            <w:pPr>
              <w:spacing w:after="0"/>
            </w:pPr>
            <w:r>
              <w:rPr>
                <w:rFonts w:ascii="Times New Roman" w:hAnsi="Times New Roman"/>
                <w:sz w:val="14"/>
              </w:rPr>
              <w:t>incense altar</w:t>
            </w:r>
          </w:p>
        </w:tc>
        <w:tc>
          <w:tcPr>
            <w:tcW w:type="dxa" w:w="3561"/>
            <w:vAlign w:val="top"/>
          </w:tcPr>
          <w:p>
            <w:pPr>
              <w:spacing w:after="0"/>
            </w:pPr>
            <w:r>
              <w:rPr>
                <w:rFonts w:ascii="Times New Roman" w:hAnsi="Times New Roman"/>
                <w:sz w:val="14"/>
              </w:rPr>
              <w:t>Acacia overlaid with gold, situated in Holy Place before veil.</w:t>
            </w:r>
          </w:p>
        </w:tc>
      </w:tr>
      <w:tr>
        <w:tc>
          <w:tcPr>
            <w:tcW w:type="dxa" w:w="3561"/>
            <w:vAlign w:val="top"/>
          </w:tcPr>
          <w:p>
            <w:pPr>
              <w:spacing w:after="0"/>
            </w:pPr>
            <w:r>
              <w:rPr>
                <w:rFonts w:ascii="Times New Roman" w:hAnsi="Times New Roman"/>
                <w:sz w:val="14"/>
              </w:rPr>
              <w:t>Ex. 30:7</w:t>
            </w:r>
          </w:p>
        </w:tc>
        <w:tc>
          <w:tcPr>
            <w:tcW w:type="dxa" w:w="3561"/>
            <w:vAlign w:val="top"/>
          </w:tcPr>
          <w:p>
            <w:pPr>
              <w:spacing w:after="0"/>
            </w:pPr>
            <w:r>
              <w:rPr>
                <w:rFonts w:ascii="Times New Roman" w:hAnsi="Times New Roman"/>
                <w:sz w:val="14"/>
              </w:rPr>
              <w:t>qetoret sammim</w:t>
            </w:r>
          </w:p>
        </w:tc>
        <w:tc>
          <w:tcPr>
            <w:tcW w:type="dxa" w:w="3561"/>
            <w:vAlign w:val="top"/>
          </w:tcPr>
          <w:p>
            <w:pPr>
              <w:spacing w:after="0"/>
            </w:pPr>
            <w:r>
              <w:rPr>
                <w:rFonts w:ascii="Times New Roman" w:hAnsi="Times New Roman"/>
                <w:sz w:val="14"/>
              </w:rPr>
              <w:t>Fragrant incense.</w:t>
            </w:r>
          </w:p>
        </w:tc>
      </w:tr>
      <w:tr>
        <w:tc>
          <w:tcPr>
            <w:tcW w:type="dxa" w:w="3561"/>
            <w:vAlign w:val="top"/>
          </w:tcPr>
          <w:p>
            <w:pPr>
              <w:spacing w:after="0"/>
            </w:pPr>
            <w:r>
              <w:rPr>
                <w:rFonts w:ascii="Times New Roman" w:hAnsi="Times New Roman"/>
                <w:sz w:val="14"/>
              </w:rPr>
              <w:t>Ex. 30:9</w:t>
            </w:r>
          </w:p>
        </w:tc>
        <w:tc>
          <w:tcPr>
            <w:tcW w:type="dxa" w:w="3561"/>
            <w:vAlign w:val="top"/>
          </w:tcPr>
          <w:p>
            <w:pPr>
              <w:spacing w:after="0"/>
            </w:pPr>
            <w:r>
              <w:rPr>
                <w:rFonts w:ascii="Times New Roman" w:hAnsi="Times New Roman"/>
                <w:sz w:val="14"/>
              </w:rPr>
              <w:t>qetoret zarah</w:t>
            </w:r>
          </w:p>
        </w:tc>
        <w:tc>
          <w:tcPr>
            <w:tcW w:type="dxa" w:w="3561"/>
            <w:vAlign w:val="top"/>
          </w:tcPr>
          <w:p>
            <w:pPr>
              <w:spacing w:after="0"/>
            </w:pPr>
            <w:r>
              <w:rPr>
                <w:rFonts w:ascii="Times New Roman" w:hAnsi="Times New Roman"/>
                <w:sz w:val="14"/>
              </w:rPr>
              <w:t>Strange/unauthorised incense.</w:t>
            </w:r>
          </w:p>
        </w:tc>
      </w:tr>
      <w:tr>
        <w:tc>
          <w:tcPr>
            <w:tcW w:type="dxa" w:w="3561"/>
            <w:vAlign w:val="top"/>
          </w:tcPr>
          <w:p>
            <w:pPr>
              <w:spacing w:after="0"/>
            </w:pPr>
            <w:r>
              <w:rPr>
                <w:rFonts w:ascii="Times New Roman" w:hAnsi="Times New Roman"/>
                <w:sz w:val="14"/>
              </w:rPr>
              <w:t>Psa. 141:2; Rev. 5:8; 8:3–4</w:t>
            </w:r>
          </w:p>
        </w:tc>
        <w:tc>
          <w:tcPr>
            <w:tcW w:type="dxa" w:w="3561"/>
            <w:vAlign w:val="top"/>
          </w:tcPr>
          <w:p>
            <w:pPr>
              <w:spacing w:after="0"/>
            </w:pPr>
            <w:r>
              <w:rPr>
                <w:rFonts w:ascii="Times New Roman" w:hAnsi="Times New Roman"/>
                <w:sz w:val="14"/>
              </w:rPr>
              <w:t>incense and prayer</w:t>
            </w:r>
          </w:p>
        </w:tc>
        <w:tc>
          <w:tcPr>
            <w:tcW w:type="dxa" w:w="3561"/>
            <w:vAlign w:val="top"/>
          </w:tcPr>
          <w:p>
            <w:pPr>
              <w:spacing w:after="0"/>
            </w:pPr>
            <w:r>
              <w:rPr>
                <w:rFonts w:ascii="Times New Roman" w:hAnsi="Times New Roman"/>
                <w:sz w:val="14"/>
              </w:rPr>
              <w:t>Explicit biblical prayer symbolism.</w:t>
            </w:r>
          </w:p>
        </w:tc>
      </w:tr>
      <w:tr>
        <w:tc>
          <w:tcPr>
            <w:tcW w:type="dxa" w:w="3561"/>
            <w:vAlign w:val="top"/>
          </w:tcPr>
          <w:p>
            <w:pPr>
              <w:spacing w:after="0"/>
            </w:pPr>
            <w:r>
              <w:rPr>
                <w:rFonts w:ascii="Times New Roman" w:hAnsi="Times New Roman"/>
                <w:sz w:val="14"/>
              </w:rPr>
              <w:t>Ex. 30:12</w:t>
            </w:r>
          </w:p>
        </w:tc>
        <w:tc>
          <w:tcPr>
            <w:tcW w:type="dxa" w:w="3561"/>
            <w:vAlign w:val="top"/>
          </w:tcPr>
          <w:p>
            <w:pPr>
              <w:spacing w:after="0"/>
            </w:pPr>
            <w:r>
              <w:rPr>
                <w:rFonts w:ascii="Times New Roman" w:hAnsi="Times New Roman"/>
                <w:sz w:val="14"/>
              </w:rPr>
              <w:t>kopher / nephesh</w:t>
            </w:r>
          </w:p>
        </w:tc>
        <w:tc>
          <w:tcPr>
            <w:tcW w:type="dxa" w:w="3561"/>
            <w:vAlign w:val="top"/>
          </w:tcPr>
          <w:p>
            <w:pPr>
              <w:spacing w:after="0"/>
            </w:pPr>
            <w:r>
              <w:rPr>
                <w:rFonts w:ascii="Times New Roman" w:hAnsi="Times New Roman"/>
                <w:sz w:val="14"/>
              </w:rPr>
              <w:t>Ransom for person/life; no immortal-soul meaning required.</w:t>
            </w:r>
          </w:p>
        </w:tc>
      </w:tr>
      <w:tr>
        <w:tc>
          <w:tcPr>
            <w:tcW w:type="dxa" w:w="3561"/>
            <w:vAlign w:val="top"/>
          </w:tcPr>
          <w:p>
            <w:pPr>
              <w:spacing w:after="0"/>
            </w:pPr>
            <w:r>
              <w:rPr>
                <w:rFonts w:ascii="Times New Roman" w:hAnsi="Times New Roman"/>
                <w:sz w:val="14"/>
              </w:rPr>
              <w:t>Ex. 30:13</w:t>
            </w:r>
          </w:p>
        </w:tc>
        <w:tc>
          <w:tcPr>
            <w:tcW w:type="dxa" w:w="3561"/>
            <w:vAlign w:val="top"/>
          </w:tcPr>
          <w:p>
            <w:pPr>
              <w:spacing w:after="0"/>
            </w:pPr>
            <w:r>
              <w:rPr>
                <w:rFonts w:ascii="Times New Roman" w:hAnsi="Times New Roman"/>
                <w:sz w:val="14"/>
              </w:rPr>
              <w:t>half shekel</w:t>
            </w:r>
          </w:p>
        </w:tc>
        <w:tc>
          <w:tcPr>
            <w:tcW w:type="dxa" w:w="3561"/>
            <w:vAlign w:val="top"/>
          </w:tcPr>
          <w:p>
            <w:pPr>
              <w:spacing w:after="0"/>
            </w:pPr>
            <w:r>
              <w:rPr>
                <w:rFonts w:ascii="Times New Roman" w:hAnsi="Times New Roman"/>
                <w:sz w:val="14"/>
              </w:rPr>
              <w:t>20 gerahs per shekel; beqa‘ terminology in Ex. 38:26.</w:t>
            </w:r>
          </w:p>
        </w:tc>
      </w:tr>
      <w:tr>
        <w:tc>
          <w:tcPr>
            <w:tcW w:type="dxa" w:w="3561"/>
            <w:vAlign w:val="top"/>
          </w:tcPr>
          <w:p>
            <w:pPr>
              <w:spacing w:after="0"/>
            </w:pPr>
            <w:r>
              <w:rPr>
                <w:rFonts w:ascii="Times New Roman" w:hAnsi="Times New Roman"/>
                <w:sz w:val="14"/>
              </w:rPr>
              <w:t>Ex. 30:15</w:t>
            </w:r>
          </w:p>
        </w:tc>
        <w:tc>
          <w:tcPr>
            <w:tcW w:type="dxa" w:w="3561"/>
            <w:vAlign w:val="top"/>
          </w:tcPr>
          <w:p>
            <w:pPr>
              <w:spacing w:after="0"/>
            </w:pPr>
            <w:r>
              <w:rPr>
                <w:rFonts w:ascii="Times New Roman" w:hAnsi="Times New Roman"/>
                <w:sz w:val="14"/>
              </w:rPr>
              <w:t>rich/poor same</w:t>
            </w:r>
          </w:p>
        </w:tc>
        <w:tc>
          <w:tcPr>
            <w:tcW w:type="dxa" w:w="3561"/>
            <w:vAlign w:val="top"/>
          </w:tcPr>
          <w:p>
            <w:pPr>
              <w:spacing w:after="0"/>
            </w:pPr>
            <w:r>
              <w:rPr>
                <w:rFonts w:ascii="Times New Roman" w:hAnsi="Times New Roman"/>
                <w:sz w:val="14"/>
              </w:rPr>
              <w:t>Equal ransom amount.</w:t>
            </w:r>
          </w:p>
        </w:tc>
      </w:tr>
      <w:tr>
        <w:tc>
          <w:tcPr>
            <w:tcW w:type="dxa" w:w="3561"/>
            <w:vAlign w:val="top"/>
          </w:tcPr>
          <w:p>
            <w:pPr>
              <w:spacing w:after="0"/>
            </w:pPr>
            <w:r>
              <w:rPr>
                <w:rFonts w:ascii="Times New Roman" w:hAnsi="Times New Roman"/>
                <w:sz w:val="14"/>
              </w:rPr>
              <w:t>Ex. 30:18</w:t>
            </w:r>
          </w:p>
        </w:tc>
        <w:tc>
          <w:tcPr>
            <w:tcW w:type="dxa" w:w="3561"/>
            <w:vAlign w:val="top"/>
          </w:tcPr>
          <w:p>
            <w:pPr>
              <w:spacing w:after="0"/>
            </w:pPr>
            <w:r>
              <w:rPr>
                <w:rFonts w:ascii="Times New Roman" w:hAnsi="Times New Roman"/>
                <w:sz w:val="14"/>
              </w:rPr>
              <w:t>kiyyor / nechosheth</w:t>
            </w:r>
          </w:p>
        </w:tc>
        <w:tc>
          <w:tcPr>
            <w:tcW w:type="dxa" w:w="3561"/>
            <w:vAlign w:val="top"/>
          </w:tcPr>
          <w:p>
            <w:pPr>
              <w:spacing w:after="0"/>
            </w:pPr>
            <w:r>
              <w:rPr>
                <w:rFonts w:ascii="Times New Roman" w:hAnsi="Times New Roman"/>
                <w:sz w:val="14"/>
              </w:rPr>
              <w:t>Laver/basin of bronze/copper.</w:t>
            </w:r>
          </w:p>
        </w:tc>
      </w:tr>
      <w:tr>
        <w:tc>
          <w:tcPr>
            <w:tcW w:type="dxa" w:w="3561"/>
            <w:vAlign w:val="top"/>
          </w:tcPr>
          <w:p>
            <w:pPr>
              <w:spacing w:after="0"/>
            </w:pPr>
            <w:r>
              <w:rPr>
                <w:rFonts w:ascii="Times New Roman" w:hAnsi="Times New Roman"/>
                <w:sz w:val="14"/>
              </w:rPr>
              <w:t>Ex. 30:20–21</w:t>
            </w:r>
          </w:p>
        </w:tc>
        <w:tc>
          <w:tcPr>
            <w:tcW w:type="dxa" w:w="3561"/>
            <w:vAlign w:val="top"/>
          </w:tcPr>
          <w:p>
            <w:pPr>
              <w:spacing w:after="0"/>
            </w:pPr>
            <w:r>
              <w:rPr>
                <w:rFonts w:ascii="Times New Roman" w:hAnsi="Times New Roman"/>
                <w:sz w:val="14"/>
              </w:rPr>
              <w:t>wash hands/feet</w:t>
            </w:r>
          </w:p>
        </w:tc>
        <w:tc>
          <w:tcPr>
            <w:tcW w:type="dxa" w:w="3561"/>
            <w:vAlign w:val="top"/>
          </w:tcPr>
          <w:p>
            <w:pPr>
              <w:spacing w:after="0"/>
            </w:pPr>
            <w:r>
              <w:rPr>
                <w:rFonts w:ascii="Times New Roman" w:hAnsi="Times New Roman"/>
                <w:sz w:val="14"/>
              </w:rPr>
              <w:t>Repeated priestly cleansing under death warning.</w:t>
            </w:r>
          </w:p>
        </w:tc>
      </w:tr>
      <w:tr>
        <w:tc>
          <w:tcPr>
            <w:tcW w:type="dxa" w:w="3561"/>
            <w:vAlign w:val="top"/>
          </w:tcPr>
          <w:p>
            <w:pPr>
              <w:spacing w:after="0"/>
            </w:pPr>
            <w:r>
              <w:rPr>
                <w:rFonts w:ascii="Times New Roman" w:hAnsi="Times New Roman"/>
                <w:sz w:val="14"/>
              </w:rPr>
              <w:t>Ex. 30:23</w:t>
            </w:r>
          </w:p>
        </w:tc>
        <w:tc>
          <w:tcPr>
            <w:tcW w:type="dxa" w:w="3561"/>
            <w:vAlign w:val="top"/>
          </w:tcPr>
          <w:p>
            <w:pPr>
              <w:spacing w:after="0"/>
            </w:pPr>
            <w:r>
              <w:rPr>
                <w:rFonts w:ascii="Times New Roman" w:hAnsi="Times New Roman"/>
                <w:sz w:val="14"/>
              </w:rPr>
              <w:t>mor deror</w:t>
            </w:r>
          </w:p>
        </w:tc>
        <w:tc>
          <w:tcPr>
            <w:tcW w:type="dxa" w:w="3561"/>
            <w:vAlign w:val="top"/>
          </w:tcPr>
          <w:p>
            <w:pPr>
              <w:spacing w:after="0"/>
            </w:pPr>
            <w:r>
              <w:rPr>
                <w:rFonts w:ascii="Times New Roman" w:hAnsi="Times New Roman"/>
                <w:sz w:val="14"/>
              </w:rPr>
              <w:t>Pure/flowing myrrh.</w:t>
            </w:r>
          </w:p>
        </w:tc>
      </w:tr>
      <w:tr>
        <w:tc>
          <w:tcPr>
            <w:tcW w:type="dxa" w:w="3561"/>
            <w:vAlign w:val="top"/>
          </w:tcPr>
          <w:p>
            <w:pPr>
              <w:spacing w:after="0"/>
            </w:pPr>
            <w:r>
              <w:rPr>
                <w:rFonts w:ascii="Times New Roman" w:hAnsi="Times New Roman"/>
                <w:sz w:val="14"/>
              </w:rPr>
              <w:t>Ex. 30:23</w:t>
            </w:r>
          </w:p>
        </w:tc>
        <w:tc>
          <w:tcPr>
            <w:tcW w:type="dxa" w:w="3561"/>
            <w:vAlign w:val="top"/>
          </w:tcPr>
          <w:p>
            <w:pPr>
              <w:spacing w:after="0"/>
            </w:pPr>
            <w:r>
              <w:rPr>
                <w:rFonts w:ascii="Times New Roman" w:hAnsi="Times New Roman"/>
                <w:sz w:val="14"/>
              </w:rPr>
              <w:t>qaneh bosem</w:t>
            </w:r>
          </w:p>
        </w:tc>
        <w:tc>
          <w:tcPr>
            <w:tcW w:type="dxa" w:w="3561"/>
            <w:vAlign w:val="top"/>
          </w:tcPr>
          <w:p>
            <w:pPr>
              <w:spacing w:after="0"/>
            </w:pPr>
            <w:r>
              <w:rPr>
                <w:rFonts w:ascii="Times New Roman" w:hAnsi="Times New Roman"/>
                <w:sz w:val="14"/>
              </w:rPr>
              <w:t>Aromatic cane/calamus; exact botanical ID not absolute.</w:t>
            </w:r>
          </w:p>
        </w:tc>
      </w:tr>
      <w:tr>
        <w:tc>
          <w:tcPr>
            <w:tcW w:type="dxa" w:w="3561"/>
            <w:vAlign w:val="top"/>
          </w:tcPr>
          <w:p>
            <w:pPr>
              <w:spacing w:after="0"/>
            </w:pPr>
            <w:r>
              <w:rPr>
                <w:rFonts w:ascii="Times New Roman" w:hAnsi="Times New Roman"/>
                <w:sz w:val="14"/>
              </w:rPr>
              <w:t>Ex. 30:24</w:t>
            </w:r>
          </w:p>
        </w:tc>
        <w:tc>
          <w:tcPr>
            <w:tcW w:type="dxa" w:w="3561"/>
            <w:vAlign w:val="top"/>
          </w:tcPr>
          <w:p>
            <w:pPr>
              <w:spacing w:after="0"/>
            </w:pPr>
            <w:r>
              <w:rPr>
                <w:rFonts w:ascii="Times New Roman" w:hAnsi="Times New Roman"/>
                <w:sz w:val="14"/>
              </w:rPr>
              <w:t>qiddah</w:t>
            </w:r>
          </w:p>
        </w:tc>
        <w:tc>
          <w:tcPr>
            <w:tcW w:type="dxa" w:w="3561"/>
            <w:vAlign w:val="top"/>
          </w:tcPr>
          <w:p>
            <w:pPr>
              <w:spacing w:after="0"/>
            </w:pPr>
            <w:r>
              <w:rPr>
                <w:rFonts w:ascii="Times New Roman" w:hAnsi="Times New Roman"/>
                <w:sz w:val="14"/>
              </w:rPr>
              <w:t>Cassia, traditional identification.</w:t>
            </w:r>
          </w:p>
        </w:tc>
      </w:tr>
      <w:tr>
        <w:tc>
          <w:tcPr>
            <w:tcW w:type="dxa" w:w="3561"/>
            <w:vAlign w:val="top"/>
          </w:tcPr>
          <w:p>
            <w:pPr>
              <w:spacing w:after="0"/>
            </w:pPr>
            <w:r>
              <w:rPr>
                <w:rFonts w:ascii="Times New Roman" w:hAnsi="Times New Roman"/>
                <w:sz w:val="14"/>
              </w:rPr>
              <w:t>Ex. 30:25</w:t>
            </w:r>
          </w:p>
        </w:tc>
        <w:tc>
          <w:tcPr>
            <w:tcW w:type="dxa" w:w="3561"/>
            <w:vAlign w:val="top"/>
          </w:tcPr>
          <w:p>
            <w:pPr>
              <w:spacing w:after="0"/>
            </w:pPr>
            <w:r>
              <w:rPr>
                <w:rFonts w:ascii="Times New Roman" w:hAnsi="Times New Roman"/>
                <w:sz w:val="14"/>
              </w:rPr>
              <w:t>roqeah</w:t>
            </w:r>
          </w:p>
        </w:tc>
        <w:tc>
          <w:tcPr>
            <w:tcW w:type="dxa" w:w="3561"/>
            <w:vAlign w:val="top"/>
          </w:tcPr>
          <w:p>
            <w:pPr>
              <w:spacing w:after="0"/>
            </w:pPr>
            <w:r>
              <w:rPr>
                <w:rFonts w:ascii="Times New Roman" w:hAnsi="Times New Roman"/>
                <w:sz w:val="14"/>
              </w:rPr>
              <w:t>Perfumer/compounder; KJV “apothecary.”</w:t>
            </w:r>
          </w:p>
        </w:tc>
      </w:tr>
      <w:tr>
        <w:tc>
          <w:tcPr>
            <w:tcW w:type="dxa" w:w="3561"/>
            <w:vAlign w:val="top"/>
          </w:tcPr>
          <w:p>
            <w:pPr>
              <w:spacing w:after="0"/>
            </w:pPr>
            <w:r>
              <w:rPr>
                <w:rFonts w:ascii="Times New Roman" w:hAnsi="Times New Roman"/>
                <w:sz w:val="14"/>
              </w:rPr>
              <w:t>Ex. 30:32–33</w:t>
            </w:r>
          </w:p>
        </w:tc>
        <w:tc>
          <w:tcPr>
            <w:tcW w:type="dxa" w:w="3561"/>
            <w:vAlign w:val="top"/>
          </w:tcPr>
          <w:p>
            <w:pPr>
              <w:spacing w:after="0"/>
            </w:pPr>
            <w:r>
              <w:rPr>
                <w:rFonts w:ascii="Times New Roman" w:hAnsi="Times New Roman"/>
                <w:sz w:val="14"/>
              </w:rPr>
              <w:t>holy oil not copied</w:t>
            </w:r>
          </w:p>
        </w:tc>
        <w:tc>
          <w:tcPr>
            <w:tcW w:type="dxa" w:w="3561"/>
            <w:vAlign w:val="top"/>
          </w:tcPr>
          <w:p>
            <w:pPr>
              <w:spacing w:after="0"/>
            </w:pPr>
            <w:r>
              <w:rPr>
                <w:rFonts w:ascii="Times New Roman" w:hAnsi="Times New Roman"/>
                <w:sz w:val="14"/>
              </w:rPr>
              <w:t>Sacred formula reserved from common use.</w:t>
            </w:r>
          </w:p>
        </w:tc>
      </w:tr>
      <w:tr>
        <w:tc>
          <w:tcPr>
            <w:tcW w:type="dxa" w:w="3561"/>
            <w:vAlign w:val="top"/>
          </w:tcPr>
          <w:p>
            <w:pPr>
              <w:spacing w:after="0"/>
            </w:pPr>
            <w:r>
              <w:rPr>
                <w:rFonts w:ascii="Times New Roman" w:hAnsi="Times New Roman"/>
                <w:sz w:val="14"/>
              </w:rPr>
              <w:t>Ex. 30:34</w:t>
            </w:r>
          </w:p>
        </w:tc>
        <w:tc>
          <w:tcPr>
            <w:tcW w:type="dxa" w:w="3561"/>
            <w:vAlign w:val="top"/>
          </w:tcPr>
          <w:p>
            <w:pPr>
              <w:spacing w:after="0"/>
            </w:pPr>
            <w:r>
              <w:rPr>
                <w:rFonts w:ascii="Times New Roman" w:hAnsi="Times New Roman"/>
                <w:sz w:val="14"/>
              </w:rPr>
              <w:t>nataf / shecheleth</w:t>
            </w:r>
          </w:p>
        </w:tc>
        <w:tc>
          <w:tcPr>
            <w:tcW w:type="dxa" w:w="3561"/>
            <w:vAlign w:val="top"/>
          </w:tcPr>
          <w:p>
            <w:pPr>
              <w:spacing w:after="0"/>
            </w:pPr>
            <w:r>
              <w:rPr>
                <w:rFonts w:ascii="Times New Roman" w:hAnsi="Times New Roman"/>
                <w:sz w:val="14"/>
              </w:rPr>
              <w:t>Stacte/onycha traditional; exact natural substances uncertain.</w:t>
            </w:r>
          </w:p>
        </w:tc>
      </w:tr>
      <w:tr>
        <w:tc>
          <w:tcPr>
            <w:tcW w:type="dxa" w:w="3561"/>
            <w:vAlign w:val="top"/>
          </w:tcPr>
          <w:p>
            <w:pPr>
              <w:spacing w:after="0"/>
            </w:pPr>
            <w:r>
              <w:rPr>
                <w:rFonts w:ascii="Times New Roman" w:hAnsi="Times New Roman"/>
                <w:sz w:val="14"/>
              </w:rPr>
              <w:t>Ex. 30:34</w:t>
            </w:r>
          </w:p>
        </w:tc>
        <w:tc>
          <w:tcPr>
            <w:tcW w:type="dxa" w:w="3561"/>
            <w:vAlign w:val="top"/>
          </w:tcPr>
          <w:p>
            <w:pPr>
              <w:spacing w:after="0"/>
            </w:pPr>
            <w:r>
              <w:rPr>
                <w:rFonts w:ascii="Times New Roman" w:hAnsi="Times New Roman"/>
                <w:sz w:val="14"/>
              </w:rPr>
              <w:t>chelbenah / levonah</w:t>
            </w:r>
          </w:p>
        </w:tc>
        <w:tc>
          <w:tcPr>
            <w:tcW w:type="dxa" w:w="3561"/>
            <w:vAlign w:val="top"/>
          </w:tcPr>
          <w:p>
            <w:pPr>
              <w:spacing w:after="0"/>
            </w:pPr>
            <w:r>
              <w:rPr>
                <w:rFonts w:ascii="Times New Roman" w:hAnsi="Times New Roman"/>
                <w:sz w:val="14"/>
              </w:rPr>
              <w:t>Galbanum / frankincense.</w:t>
            </w:r>
          </w:p>
        </w:tc>
      </w:tr>
      <w:tr>
        <w:tc>
          <w:tcPr>
            <w:tcW w:type="dxa" w:w="3561"/>
            <w:vAlign w:val="top"/>
          </w:tcPr>
          <w:p>
            <w:pPr>
              <w:spacing w:after="0"/>
            </w:pPr>
            <w:r>
              <w:rPr>
                <w:rFonts w:ascii="Times New Roman" w:hAnsi="Times New Roman"/>
                <w:sz w:val="14"/>
              </w:rPr>
              <w:t>Ex. 30:35</w:t>
            </w:r>
          </w:p>
        </w:tc>
        <w:tc>
          <w:tcPr>
            <w:tcW w:type="dxa" w:w="3561"/>
            <w:vAlign w:val="top"/>
          </w:tcPr>
          <w:p>
            <w:pPr>
              <w:spacing w:after="0"/>
            </w:pPr>
            <w:r>
              <w:rPr>
                <w:rFonts w:ascii="Times New Roman" w:hAnsi="Times New Roman"/>
                <w:sz w:val="14"/>
              </w:rPr>
              <w:t>memullach</w:t>
            </w:r>
          </w:p>
        </w:tc>
        <w:tc>
          <w:tcPr>
            <w:tcW w:type="dxa" w:w="3561"/>
            <w:vAlign w:val="top"/>
          </w:tcPr>
          <w:p>
            <w:pPr>
              <w:spacing w:after="0"/>
            </w:pPr>
            <w:r>
              <w:rPr>
                <w:rFonts w:ascii="Times New Roman" w:hAnsi="Times New Roman"/>
                <w:sz w:val="14"/>
              </w:rPr>
              <w:t>Salted/seasoned, pure, holy compound.</w:t>
            </w:r>
          </w:p>
        </w:tc>
      </w:tr>
      <w:tr>
        <w:tc>
          <w:tcPr>
            <w:tcW w:type="dxa" w:w="3561"/>
            <w:vAlign w:val="top"/>
          </w:tcPr>
          <w:p>
            <w:pPr>
              <w:spacing w:after="0"/>
            </w:pPr>
            <w:r>
              <w:rPr>
                <w:rFonts w:ascii="Times New Roman" w:hAnsi="Times New Roman"/>
                <w:sz w:val="14"/>
              </w:rPr>
              <w:t>Ex. 30:37–38</w:t>
            </w:r>
          </w:p>
        </w:tc>
        <w:tc>
          <w:tcPr>
            <w:tcW w:type="dxa" w:w="3561"/>
            <w:vAlign w:val="top"/>
          </w:tcPr>
          <w:p>
            <w:pPr>
              <w:spacing w:after="0"/>
            </w:pPr>
            <w:r>
              <w:rPr>
                <w:rFonts w:ascii="Times New Roman" w:hAnsi="Times New Roman"/>
                <w:sz w:val="14"/>
              </w:rPr>
              <w:t>incense formula reserved</w:t>
            </w:r>
          </w:p>
        </w:tc>
        <w:tc>
          <w:tcPr>
            <w:tcW w:type="dxa" w:w="3561"/>
            <w:vAlign w:val="top"/>
          </w:tcPr>
          <w:p>
            <w:pPr>
              <w:spacing w:after="0"/>
            </w:pPr>
            <w:r>
              <w:rPr>
                <w:rFonts w:ascii="Times New Roman" w:hAnsi="Times New Roman"/>
                <w:sz w:val="14"/>
              </w:rPr>
              <w:t>Not reproduced for personal fragrance.</w:t>
            </w:r>
          </w:p>
        </w:tc>
      </w:tr>
    </w:tbl>
    <w:p>
      <w:pPr>
        <w:pStyle w:val="Heading1"/>
      </w:pPr>
      <w:r>
        <w:t>RESIDUAL UNCERTAINTIES</w:t>
      </w:r>
    </w:p>
    <w:p>
      <w:pPr/>
      <w:r>
        <w:rPr>
          <w:i w:val="0"/>
        </w:rPr>
        <w:t>The exact botanical sources of several aromatics—especially onycha/shecheleth and stacte/nataf—remain debated. The physical procedure of yearly atonement on the incense altar is developed more fully in Leviticus. Mansfield’s symbolic assignments to every spice remain devotional typology rather than lexical meaning.</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4" w:after="15"/>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5" w:after="15"/>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