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EXODUS 31</w:t>
      </w:r>
    </w:p>
    <w:p>
      <w:pPr>
        <w:pStyle w:val="Subtitle"/>
      </w:pPr>
      <w:r>
        <w:t>BEZALEEL AND OHOLIAB • SPIRIT-GIVEN CRAFTSMANSHIP • SKILL UNDER THE PATTERN • THE SABBATH AS A SIGN • WRITTEN WITH THE FINGER OF GOD</w:t>
      </w:r>
    </w:p>
    <w:p>
      <w:pPr/>
      <w:r>
        <w:rPr>
          <w:i/>
        </w:rPr>
        <w:t>H. P. Mansfield Bible notes — checked and arranged in verse-by-verse Expositor style</w:t>
      </w:r>
    </w:p>
    <w:p>
      <w:pPr/>
      <w:r>
        <w:rPr>
          <w:i w:val="0"/>
        </w:rPr>
        <w:t>Source: HPB 02-Gen42-Lev11.pdf, principally Exodus 31 photographed pages 67–68</w:t>
      </w:r>
    </w:p>
    <w:p>
      <w:pPr>
        <w:pStyle w:val="Heading1"/>
      </w:pPr>
      <w:r>
        <w:t>CHAPTER OVERVIEW</w:t>
      </w:r>
    </w:p>
    <w:p>
      <w:pPr/>
      <w:r>
        <w:rPr>
          <w:i w:val="0"/>
        </w:rPr>
        <w:t>Exodus 31 closes the sanctuary instructions before the golden-calf interruption. Yahweh names and equips craftsmen for the work, then immediately insists that even sacred construction must stop for the Sabbath.</w:t>
      </w:r>
    </w:p>
    <w:p>
      <w:pPr/>
      <w:r>
        <w:rPr>
          <w:i w:val="0"/>
        </w:rPr>
        <w:t>The chapter therefore joins gift and obedience. Divine ability does not authorise alteration of the pattern, and zeal for holy work does not authorise breaking another Divine command.</w:t>
      </w:r>
    </w:p>
    <w:p>
      <w:pPr>
        <w:pStyle w:val="Heading1"/>
      </w:pPr>
      <w:r>
        <w:t>CRAFTSMEN FILLED FOR THE WORK — EXODUS 31:1–11</w:t>
      </w:r>
    </w:p>
    <w:p>
      <w:pPr>
        <w:pStyle w:val="Heading2"/>
      </w:pPr>
      <w:r>
        <w:t>Exodus 31:1–5 — Bezalel called by name</w:t>
      </w:r>
    </w:p>
    <w:p>
      <w:pPr/>
      <w:r>
        <w:rPr>
          <w:i w:val="0"/>
        </w:rPr>
        <w:t>Bezalel son of Uri son of Hur, of Judah, is called by name and filled with ruach Elohim, the Spirit of God, in chokmah, wisdom; tevunah, understanding; da‘ath, knowledge; and skilled workmanship.</w:t>
      </w:r>
    </w:p>
    <w:p>
      <w:pPr/>
      <w:r>
        <w:rPr>
          <w:i w:val="0"/>
        </w:rPr>
        <w:t>The passage is an important correction to any idea that Divine gifting is confined to public speech. Design, metalwork, stone-setting, woodcraft and practical skill can all be gifts used in Yahweh’s service.</w:t>
      </w:r>
    </w:p>
    <w:p>
      <w:pPr>
        <w:pStyle w:val="Heading2"/>
      </w:pPr>
      <w:r>
        <w:t>Exodus 31:6 — Oholiab and other wise-hearted workers</w:t>
      </w:r>
    </w:p>
    <w:p>
      <w:pPr/>
      <w:r>
        <w:rPr>
          <w:i w:val="0"/>
        </w:rPr>
        <w:t>Oholiab son of Ahisamach, of Dan, is appointed alongside Bezalel, and wisdom is given to other skilled workers. The sanctuary is collaborative, not the product of one solitary genius.</w:t>
      </w:r>
    </w:p>
    <w:p>
      <w:pPr>
        <w:pStyle w:val="Heading2"/>
      </w:pPr>
      <w:r>
        <w:t>Exodus 31:7–11 — ability remains under command</w:t>
      </w:r>
    </w:p>
    <w:p>
      <w:pPr/>
      <w:r>
        <w:rPr>
          <w:i w:val="0"/>
        </w:rPr>
        <w:t>The workers make the Tent, ark, kapporeth, table, lampstand, altars, laver, garments, oil and incense. The section closes: “according to all that I have commanded thee shall they do.”</w:t>
      </w:r>
    </w:p>
    <w:p>
      <w:pPr/>
      <w:r>
        <w:rPr>
          <w:i w:val="0"/>
        </w:rPr>
        <w:t>Creative skill is therefore subordinate to revelation. Being gifted is not permission to redesign what Yahweh has specified.</w:t>
      </w:r>
    </w:p>
    <w:p>
      <w:pPr>
        <w:pStyle w:val="Heading1"/>
      </w:pPr>
      <w:r>
        <w:t>THE SABBATH AS A COVENANT SIGN — EXODUS 31:12–17</w:t>
      </w:r>
    </w:p>
    <w:p>
      <w:pPr>
        <w:pStyle w:val="Heading2"/>
      </w:pPr>
      <w:r>
        <w:t>Exodus 31:12–13 — “a sign between me and you”</w:t>
      </w:r>
    </w:p>
    <w:p>
      <w:pPr/>
      <w:r>
        <w:rPr>
          <w:i w:val="0"/>
        </w:rPr>
        <w:t>Israel must keep Yahweh’s Sabbaths because the Sabbath is an ’oth, sign, between Yahweh and Israel throughout their generations, testifying that Yahweh sanctifies them. Ezekiel 20:12 later repeats this exact sign-and-sanctification theme.</w:t>
      </w:r>
    </w:p>
    <w:p>
      <w:pPr>
        <w:pStyle w:val="Heading2"/>
      </w:pPr>
      <w:r>
        <w:t>Exodus 31:14–15 — even sanctuary work stops</w:t>
      </w:r>
    </w:p>
    <w:p>
      <w:pPr/>
      <w:r>
        <w:rPr>
          <w:i w:val="0"/>
        </w:rPr>
        <w:t>The Sabbath is holy, and deliberate profanation carries the Mosaic covenant’s severe judicial penalty. Six days are for work; the seventh is shabbat shabbaton, a Sabbath of complete/solemn rest.</w:t>
      </w:r>
    </w:p>
    <w:p>
      <w:pPr/>
      <w:r>
        <w:rPr>
          <w:i w:val="0"/>
        </w:rPr>
        <w:t>The placement after all the construction instructions is significant: even building Yahweh’s own dwelling is no excuse for ignoring Yahweh’s Sabbath command.</w:t>
      </w:r>
    </w:p>
    <w:p>
      <w:pPr>
        <w:pStyle w:val="Heading2"/>
      </w:pPr>
      <w:r>
        <w:t>Exodus 31:16–17 — specifically a sign with Israel</w:t>
      </w:r>
    </w:p>
    <w:p>
      <w:pPr/>
      <w:r>
        <w:rPr>
          <w:i w:val="0"/>
        </w:rPr>
        <w:t>The children of Israel are to observe the Sabbath as a berith ‘olam, enduring/perpetual covenant sign through their generations. The creation pattern supplies its basis: Yahweh made heaven and earth in six days and rested on the seventh.</w:t>
      </w:r>
    </w:p>
    <w:p>
      <w:pPr/>
      <w:r>
        <w:rPr>
          <w:i w:val="0"/>
        </w:rPr>
        <w:t>Verse 17 says Yahweh “rested, and was refreshed” (vayinnaphash). This is anthropomorphic covenant language for cessation/refreshment; it does not imply Divine exhaustion, since Isaiah 40:28 states that the Creator does not faint or become weary.</w:t>
      </w:r>
    </w:p>
    <w:p>
      <w:pPr/>
      <w:r>
        <w:rPr>
          <w:i w:val="0"/>
        </w:rPr>
        <w:t>The New Testament therefore must be allowed to interpret covenant application: Colossians 2:16–17 tells believers not to be judged concerning sabbath days, while the creation principle and spiritual lessons of rest remain instructive.</w:t>
      </w:r>
    </w:p>
    <w:p>
      <w:pPr>
        <w:pStyle w:val="Heading1"/>
      </w:pPr>
      <w:r>
        <w:t>THE TABLETS OF TESTIMONY — EXODUS 31:18</w:t>
      </w:r>
    </w:p>
    <w:p>
      <w:pPr>
        <w:pStyle w:val="Heading2"/>
      </w:pPr>
      <w:r>
        <w:t>Exodus 31:18 — “written with the finger of God”</w:t>
      </w:r>
    </w:p>
    <w:p>
      <w:pPr/>
      <w:r>
        <w:rPr>
          <w:i w:val="0"/>
        </w:rPr>
        <w:t>When God finishes speaking with Moses, He gives two stone tablets of testimony “written with the finger of God.” The phrase asserts direct Divine authorship/authority, not a need to imagine a literal fleshly finger.</w:t>
      </w:r>
    </w:p>
    <w:p>
      <w:pPr/>
      <w:r>
        <w:rPr>
          <w:i w:val="0"/>
        </w:rPr>
        <w:t>The narrative transition is deliberately stark: Moses receives God-written testimony while Israel below is about to manufacture its own god.</w:t>
      </w:r>
    </w:p>
    <w:p>
      <w:pPr>
        <w:pStyle w:val="Heading1"/>
      </w:pPr>
      <w:r>
        <w:t>GIFTED WORK AND OBEDIENT REST</w:t>
      </w:r>
    </w:p>
    <w:p>
      <w:pPr>
        <w:pStyle w:val="Heading2"/>
      </w:pPr>
      <w:r>
        <w:t>The chapter’s balance</w:t>
      </w:r>
    </w:p>
    <w:p>
      <w:pPr/>
      <w:r>
        <w:rPr>
          <w:i w:val="0"/>
        </w:rPr>
        <w:t>Bezalel and Oholiab show that Yahweh equips people for demanding practical work; the Sabbath shows that no work, however sacred, becomes more important than obedience. Gift and discipline belong together.</w:t>
      </w:r>
    </w:p>
    <w:p>
      <w:pPr>
        <w:pStyle w:val="Heading1"/>
      </w:pPr>
      <w:r>
        <w:t>PRINCIPAL THEMES</w:t>
      </w:r>
    </w:p>
    <w:p>
      <w:pPr>
        <w:ind w:left="259" w:hanging="202"/>
      </w:pPr>
      <w:r>
        <w:rPr>
          <w:b/>
        </w:rPr>
        <w:t xml:space="preserve">• </w:t>
      </w:r>
      <w:r>
        <w:t>Practical craftsmanship can be a genuine Divine gift.</w:t>
      </w:r>
    </w:p>
    <w:p>
      <w:pPr>
        <w:ind w:left="259" w:hanging="202"/>
      </w:pPr>
      <w:r>
        <w:rPr>
          <w:b/>
        </w:rPr>
        <w:t xml:space="preserve">• </w:t>
      </w:r>
      <w:r>
        <w:t>Yahweh’s work requires collaborative gifts rather than solitary genius.</w:t>
      </w:r>
    </w:p>
    <w:p>
      <w:pPr>
        <w:ind w:left="259" w:hanging="202"/>
      </w:pPr>
      <w:r>
        <w:rPr>
          <w:b/>
        </w:rPr>
        <w:t xml:space="preserve">• </w:t>
      </w:r>
      <w:r>
        <w:t>Skill remains subordinate to the revealed pattern.</w:t>
      </w:r>
    </w:p>
    <w:p>
      <w:pPr>
        <w:ind w:left="259" w:hanging="202"/>
      </w:pPr>
      <w:r>
        <w:rPr>
          <w:b/>
        </w:rPr>
        <w:t xml:space="preserve">• </w:t>
      </w:r>
      <w:r>
        <w:t>The Sabbath is explicitly a covenant sign between Yahweh and Israel.</w:t>
      </w:r>
    </w:p>
    <w:p>
      <w:pPr>
        <w:ind w:left="259" w:hanging="202"/>
      </w:pPr>
      <w:r>
        <w:rPr>
          <w:b/>
        </w:rPr>
        <w:t xml:space="preserve">• </w:t>
      </w:r>
      <w:r>
        <w:t>Even holy work cannot be used as an excuse for disobedience.</w:t>
      </w:r>
    </w:p>
    <w:p>
      <w:pPr>
        <w:ind w:left="259" w:hanging="202"/>
      </w:pPr>
      <w:r>
        <w:rPr>
          <w:b/>
        </w:rPr>
        <w:t xml:space="preserve">• </w:t>
      </w:r>
      <w:r>
        <w:t>Divine “refreshment” language does not imply that the Creator becomes physically tired.</w:t>
      </w:r>
    </w:p>
    <w:p>
      <w:pPr>
        <w:ind w:left="259" w:hanging="202"/>
      </w:pPr>
      <w:r>
        <w:rPr>
          <w:b/>
        </w:rPr>
        <w:t xml:space="preserve">• </w:t>
      </w:r>
      <w:r>
        <w:t>The stone tablets carry direct Divine authority.</w:t>
      </w:r>
    </w:p>
    <w:p>
      <w:pPr>
        <w:ind w:left="259" w:hanging="202"/>
      </w:pPr>
      <w:r>
        <w:rPr>
          <w:b/>
        </w:rPr>
        <w:t xml:space="preserve">• </w:t>
      </w:r>
      <w:r>
        <w:t>The chapter prepares a deliberate contrast with the humanly manufactured calf.</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6"/>
              </w:rPr>
              <w:t>Location</w:t>
            </w:r>
          </w:p>
        </w:tc>
        <w:tc>
          <w:tcPr>
            <w:tcW w:type="dxa" w:w="3561"/>
          </w:tcPr>
          <w:p>
            <w:r>
              <w:rPr>
                <w:rFonts w:ascii="Arial" w:hAnsi="Arial"/>
                <w:b/>
                <w:sz w:val="16"/>
              </w:rPr>
              <w:t>Checked / corrected reading</w:t>
            </w:r>
          </w:p>
        </w:tc>
        <w:tc>
          <w:tcPr>
            <w:tcW w:type="dxa" w:w="3561"/>
          </w:tcPr>
          <w:p>
            <w:r>
              <w:rPr>
                <w:rFonts w:ascii="Arial" w:hAnsi="Arial"/>
                <w:b/>
                <w:sz w:val="16"/>
              </w:rPr>
              <w:t>Basis</w:t>
            </w:r>
          </w:p>
        </w:tc>
      </w:tr>
      <w:tr>
        <w:tc>
          <w:tcPr>
            <w:tcW w:type="dxa" w:w="3561"/>
            <w:vAlign w:val="top"/>
          </w:tcPr>
          <w:p>
            <w:pPr>
              <w:spacing w:after="0"/>
            </w:pPr>
            <w:r>
              <w:rPr>
                <w:rFonts w:ascii="Times New Roman" w:hAnsi="Times New Roman"/>
                <w:sz w:val="14"/>
              </w:rPr>
              <w:t>Ex. 31:2</w:t>
            </w:r>
          </w:p>
        </w:tc>
        <w:tc>
          <w:tcPr>
            <w:tcW w:type="dxa" w:w="3561"/>
            <w:vAlign w:val="top"/>
          </w:tcPr>
          <w:p>
            <w:pPr>
              <w:spacing w:after="0"/>
            </w:pPr>
            <w:r>
              <w:rPr>
                <w:rFonts w:ascii="Times New Roman" w:hAnsi="Times New Roman"/>
                <w:sz w:val="14"/>
              </w:rPr>
              <w:t>Bezalel</w:t>
            </w:r>
          </w:p>
        </w:tc>
        <w:tc>
          <w:tcPr>
            <w:tcW w:type="dxa" w:w="3561"/>
            <w:vAlign w:val="top"/>
          </w:tcPr>
          <w:p>
            <w:pPr>
              <w:spacing w:after="0"/>
            </w:pPr>
            <w:r>
              <w:rPr>
                <w:rFonts w:ascii="Times New Roman" w:hAnsi="Times New Roman"/>
                <w:sz w:val="14"/>
              </w:rPr>
              <w:t>Son of Uri, son of Hur, tribe of Judah.</w:t>
            </w:r>
          </w:p>
        </w:tc>
      </w:tr>
      <w:tr>
        <w:tc>
          <w:tcPr>
            <w:tcW w:type="dxa" w:w="3561"/>
            <w:vAlign w:val="top"/>
          </w:tcPr>
          <w:p>
            <w:pPr>
              <w:spacing w:after="0"/>
            </w:pPr>
            <w:r>
              <w:rPr>
                <w:rFonts w:ascii="Times New Roman" w:hAnsi="Times New Roman"/>
                <w:sz w:val="14"/>
              </w:rPr>
              <w:t>Ex. 31:3</w:t>
            </w:r>
          </w:p>
        </w:tc>
        <w:tc>
          <w:tcPr>
            <w:tcW w:type="dxa" w:w="3561"/>
            <w:vAlign w:val="top"/>
          </w:tcPr>
          <w:p>
            <w:pPr>
              <w:spacing w:after="0"/>
            </w:pPr>
            <w:r>
              <w:rPr>
                <w:rFonts w:ascii="Times New Roman" w:hAnsi="Times New Roman"/>
                <w:sz w:val="14"/>
              </w:rPr>
              <w:t>ruach Elohim</w:t>
            </w:r>
          </w:p>
        </w:tc>
        <w:tc>
          <w:tcPr>
            <w:tcW w:type="dxa" w:w="3561"/>
            <w:vAlign w:val="top"/>
          </w:tcPr>
          <w:p>
            <w:pPr>
              <w:spacing w:after="0"/>
            </w:pPr>
            <w:r>
              <w:rPr>
                <w:rFonts w:ascii="Times New Roman" w:hAnsi="Times New Roman"/>
                <w:sz w:val="14"/>
              </w:rPr>
              <w:t>Spirit of God expressed in practical wisdom/skill.</w:t>
            </w:r>
          </w:p>
        </w:tc>
      </w:tr>
      <w:tr>
        <w:tc>
          <w:tcPr>
            <w:tcW w:type="dxa" w:w="3561"/>
            <w:vAlign w:val="top"/>
          </w:tcPr>
          <w:p>
            <w:pPr>
              <w:spacing w:after="0"/>
            </w:pPr>
            <w:r>
              <w:rPr>
                <w:rFonts w:ascii="Times New Roman" w:hAnsi="Times New Roman"/>
                <w:sz w:val="14"/>
              </w:rPr>
              <w:t>Ex. 31:3</w:t>
            </w:r>
          </w:p>
        </w:tc>
        <w:tc>
          <w:tcPr>
            <w:tcW w:type="dxa" w:w="3561"/>
            <w:vAlign w:val="top"/>
          </w:tcPr>
          <w:p>
            <w:pPr>
              <w:spacing w:after="0"/>
            </w:pPr>
            <w:r>
              <w:rPr>
                <w:rFonts w:ascii="Times New Roman" w:hAnsi="Times New Roman"/>
                <w:sz w:val="14"/>
              </w:rPr>
              <w:t>chokmah / tevunah / da‘ath</w:t>
            </w:r>
          </w:p>
        </w:tc>
        <w:tc>
          <w:tcPr>
            <w:tcW w:type="dxa" w:w="3561"/>
            <w:vAlign w:val="top"/>
          </w:tcPr>
          <w:p>
            <w:pPr>
              <w:spacing w:after="0"/>
            </w:pPr>
            <w:r>
              <w:rPr>
                <w:rFonts w:ascii="Times New Roman" w:hAnsi="Times New Roman"/>
                <w:sz w:val="14"/>
              </w:rPr>
              <w:t>Wisdom / understanding / knowledge.</w:t>
            </w:r>
          </w:p>
        </w:tc>
      </w:tr>
      <w:tr>
        <w:tc>
          <w:tcPr>
            <w:tcW w:type="dxa" w:w="3561"/>
            <w:vAlign w:val="top"/>
          </w:tcPr>
          <w:p>
            <w:pPr>
              <w:spacing w:after="0"/>
            </w:pPr>
            <w:r>
              <w:rPr>
                <w:rFonts w:ascii="Times New Roman" w:hAnsi="Times New Roman"/>
                <w:sz w:val="14"/>
              </w:rPr>
              <w:t>Ex. 31:6</w:t>
            </w:r>
          </w:p>
        </w:tc>
        <w:tc>
          <w:tcPr>
            <w:tcW w:type="dxa" w:w="3561"/>
            <w:vAlign w:val="top"/>
          </w:tcPr>
          <w:p>
            <w:pPr>
              <w:spacing w:after="0"/>
            </w:pPr>
            <w:r>
              <w:rPr>
                <w:rFonts w:ascii="Times New Roman" w:hAnsi="Times New Roman"/>
                <w:sz w:val="14"/>
              </w:rPr>
              <w:t>Oholiab</w:t>
            </w:r>
          </w:p>
        </w:tc>
        <w:tc>
          <w:tcPr>
            <w:tcW w:type="dxa" w:w="3561"/>
            <w:vAlign w:val="top"/>
          </w:tcPr>
          <w:p>
            <w:pPr>
              <w:spacing w:after="0"/>
            </w:pPr>
            <w:r>
              <w:rPr>
                <w:rFonts w:ascii="Times New Roman" w:hAnsi="Times New Roman"/>
                <w:sz w:val="14"/>
              </w:rPr>
              <w:t>Son of Ahisamach, tribe of Dan.</w:t>
            </w:r>
          </w:p>
        </w:tc>
      </w:tr>
      <w:tr>
        <w:tc>
          <w:tcPr>
            <w:tcW w:type="dxa" w:w="3561"/>
            <w:vAlign w:val="top"/>
          </w:tcPr>
          <w:p>
            <w:pPr>
              <w:spacing w:after="0"/>
            </w:pPr>
            <w:r>
              <w:rPr>
                <w:rFonts w:ascii="Times New Roman" w:hAnsi="Times New Roman"/>
                <w:sz w:val="14"/>
              </w:rPr>
              <w:t>Ex. 31:6</w:t>
            </w:r>
          </w:p>
        </w:tc>
        <w:tc>
          <w:tcPr>
            <w:tcW w:type="dxa" w:w="3561"/>
            <w:vAlign w:val="top"/>
          </w:tcPr>
          <w:p>
            <w:pPr>
              <w:spacing w:after="0"/>
            </w:pPr>
            <w:r>
              <w:rPr>
                <w:rFonts w:ascii="Times New Roman" w:hAnsi="Times New Roman"/>
                <w:sz w:val="14"/>
              </w:rPr>
              <w:t>wise-hearted</w:t>
            </w:r>
          </w:p>
        </w:tc>
        <w:tc>
          <w:tcPr>
            <w:tcW w:type="dxa" w:w="3561"/>
            <w:vAlign w:val="top"/>
          </w:tcPr>
          <w:p>
            <w:pPr>
              <w:spacing w:after="0"/>
            </w:pPr>
            <w:r>
              <w:rPr>
                <w:rFonts w:ascii="Times New Roman" w:hAnsi="Times New Roman"/>
                <w:sz w:val="14"/>
              </w:rPr>
              <w:t>Multiple artisans receive ability; collaborative work.</w:t>
            </w:r>
          </w:p>
        </w:tc>
      </w:tr>
      <w:tr>
        <w:tc>
          <w:tcPr>
            <w:tcW w:type="dxa" w:w="3561"/>
            <w:vAlign w:val="top"/>
          </w:tcPr>
          <w:p>
            <w:pPr>
              <w:spacing w:after="0"/>
            </w:pPr>
            <w:r>
              <w:rPr>
                <w:rFonts w:ascii="Times New Roman" w:hAnsi="Times New Roman"/>
                <w:sz w:val="14"/>
              </w:rPr>
              <w:t>Ex. 31:11</w:t>
            </w:r>
          </w:p>
        </w:tc>
        <w:tc>
          <w:tcPr>
            <w:tcW w:type="dxa" w:w="3561"/>
            <w:vAlign w:val="top"/>
          </w:tcPr>
          <w:p>
            <w:pPr>
              <w:spacing w:after="0"/>
            </w:pPr>
            <w:r>
              <w:rPr>
                <w:rFonts w:ascii="Times New Roman" w:hAnsi="Times New Roman"/>
                <w:sz w:val="14"/>
              </w:rPr>
              <w:t>according to command</w:t>
            </w:r>
          </w:p>
        </w:tc>
        <w:tc>
          <w:tcPr>
            <w:tcW w:type="dxa" w:w="3561"/>
            <w:vAlign w:val="top"/>
          </w:tcPr>
          <w:p>
            <w:pPr>
              <w:spacing w:after="0"/>
            </w:pPr>
            <w:r>
              <w:rPr>
                <w:rFonts w:ascii="Times New Roman" w:hAnsi="Times New Roman"/>
                <w:sz w:val="14"/>
              </w:rPr>
              <w:t>Giftedness does not override revealed pattern.</w:t>
            </w:r>
          </w:p>
        </w:tc>
      </w:tr>
      <w:tr>
        <w:tc>
          <w:tcPr>
            <w:tcW w:type="dxa" w:w="3561"/>
            <w:vAlign w:val="top"/>
          </w:tcPr>
          <w:p>
            <w:pPr>
              <w:spacing w:after="0"/>
            </w:pPr>
            <w:r>
              <w:rPr>
                <w:rFonts w:ascii="Times New Roman" w:hAnsi="Times New Roman"/>
                <w:sz w:val="14"/>
              </w:rPr>
              <w:t>Ex. 31:13</w:t>
            </w:r>
          </w:p>
        </w:tc>
        <w:tc>
          <w:tcPr>
            <w:tcW w:type="dxa" w:w="3561"/>
            <w:vAlign w:val="top"/>
          </w:tcPr>
          <w:p>
            <w:pPr>
              <w:spacing w:after="0"/>
            </w:pPr>
            <w:r>
              <w:rPr>
                <w:rFonts w:ascii="Times New Roman" w:hAnsi="Times New Roman"/>
                <w:sz w:val="14"/>
              </w:rPr>
              <w:t>’oth</w:t>
            </w:r>
          </w:p>
        </w:tc>
        <w:tc>
          <w:tcPr>
            <w:tcW w:type="dxa" w:w="3561"/>
            <w:vAlign w:val="top"/>
          </w:tcPr>
          <w:p>
            <w:pPr>
              <w:spacing w:after="0"/>
            </w:pPr>
            <w:r>
              <w:rPr>
                <w:rFonts w:ascii="Times New Roman" w:hAnsi="Times New Roman"/>
                <w:sz w:val="14"/>
              </w:rPr>
              <w:t>Sign between Yahweh and Israel.</w:t>
            </w:r>
          </w:p>
        </w:tc>
      </w:tr>
      <w:tr>
        <w:tc>
          <w:tcPr>
            <w:tcW w:type="dxa" w:w="3561"/>
            <w:vAlign w:val="top"/>
          </w:tcPr>
          <w:p>
            <w:pPr>
              <w:spacing w:after="0"/>
            </w:pPr>
            <w:r>
              <w:rPr>
                <w:rFonts w:ascii="Times New Roman" w:hAnsi="Times New Roman"/>
                <w:sz w:val="14"/>
              </w:rPr>
              <w:t>Ezek. 20:12</w:t>
            </w:r>
          </w:p>
        </w:tc>
        <w:tc>
          <w:tcPr>
            <w:tcW w:type="dxa" w:w="3561"/>
            <w:vAlign w:val="top"/>
          </w:tcPr>
          <w:p>
            <w:pPr>
              <w:spacing w:after="0"/>
            </w:pPr>
            <w:r>
              <w:rPr>
                <w:rFonts w:ascii="Times New Roman" w:hAnsi="Times New Roman"/>
                <w:sz w:val="14"/>
              </w:rPr>
              <w:t>Sabbath sign</w:t>
            </w:r>
          </w:p>
        </w:tc>
        <w:tc>
          <w:tcPr>
            <w:tcW w:type="dxa" w:w="3561"/>
            <w:vAlign w:val="top"/>
          </w:tcPr>
          <w:p>
            <w:pPr>
              <w:spacing w:after="0"/>
            </w:pPr>
            <w:r>
              <w:rPr>
                <w:rFonts w:ascii="Times New Roman" w:hAnsi="Times New Roman"/>
                <w:sz w:val="14"/>
              </w:rPr>
              <w:t>Confirms sanctification-sign function.</w:t>
            </w:r>
          </w:p>
        </w:tc>
      </w:tr>
      <w:tr>
        <w:tc>
          <w:tcPr>
            <w:tcW w:type="dxa" w:w="3561"/>
            <w:vAlign w:val="top"/>
          </w:tcPr>
          <w:p>
            <w:pPr>
              <w:spacing w:after="0"/>
            </w:pPr>
            <w:r>
              <w:rPr>
                <w:rFonts w:ascii="Times New Roman" w:hAnsi="Times New Roman"/>
                <w:sz w:val="14"/>
              </w:rPr>
              <w:t>Ex. 31:15</w:t>
            </w:r>
          </w:p>
        </w:tc>
        <w:tc>
          <w:tcPr>
            <w:tcW w:type="dxa" w:w="3561"/>
            <w:vAlign w:val="top"/>
          </w:tcPr>
          <w:p>
            <w:pPr>
              <w:spacing w:after="0"/>
            </w:pPr>
            <w:r>
              <w:rPr>
                <w:rFonts w:ascii="Times New Roman" w:hAnsi="Times New Roman"/>
                <w:sz w:val="14"/>
              </w:rPr>
              <w:t>shabbat shabbaton</w:t>
            </w:r>
          </w:p>
        </w:tc>
        <w:tc>
          <w:tcPr>
            <w:tcW w:type="dxa" w:w="3561"/>
            <w:vAlign w:val="top"/>
          </w:tcPr>
          <w:p>
            <w:pPr>
              <w:spacing w:after="0"/>
            </w:pPr>
            <w:r>
              <w:rPr>
                <w:rFonts w:ascii="Times New Roman" w:hAnsi="Times New Roman"/>
                <w:sz w:val="14"/>
              </w:rPr>
              <w:t>Sabbath of complete/solemn rest.</w:t>
            </w:r>
          </w:p>
        </w:tc>
      </w:tr>
      <w:tr>
        <w:tc>
          <w:tcPr>
            <w:tcW w:type="dxa" w:w="3561"/>
            <w:vAlign w:val="top"/>
          </w:tcPr>
          <w:p>
            <w:pPr>
              <w:spacing w:after="0"/>
            </w:pPr>
            <w:r>
              <w:rPr>
                <w:rFonts w:ascii="Times New Roman" w:hAnsi="Times New Roman"/>
                <w:sz w:val="14"/>
              </w:rPr>
              <w:t>Ex. 31:16</w:t>
            </w:r>
          </w:p>
        </w:tc>
        <w:tc>
          <w:tcPr>
            <w:tcW w:type="dxa" w:w="3561"/>
            <w:vAlign w:val="top"/>
          </w:tcPr>
          <w:p>
            <w:pPr>
              <w:spacing w:after="0"/>
            </w:pPr>
            <w:r>
              <w:rPr>
                <w:rFonts w:ascii="Times New Roman" w:hAnsi="Times New Roman"/>
                <w:sz w:val="14"/>
              </w:rPr>
              <w:t>berith ‘olam</w:t>
            </w:r>
          </w:p>
        </w:tc>
        <w:tc>
          <w:tcPr>
            <w:tcW w:type="dxa" w:w="3561"/>
            <w:vAlign w:val="top"/>
          </w:tcPr>
          <w:p>
            <w:pPr>
              <w:spacing w:after="0"/>
            </w:pPr>
            <w:r>
              <w:rPr>
                <w:rFonts w:ascii="Times New Roman" w:hAnsi="Times New Roman"/>
                <w:sz w:val="14"/>
              </w:rPr>
              <w:t>Enduring/perpetual covenant sign through Israel’s generations.</w:t>
            </w:r>
          </w:p>
        </w:tc>
      </w:tr>
      <w:tr>
        <w:tc>
          <w:tcPr>
            <w:tcW w:type="dxa" w:w="3561"/>
            <w:vAlign w:val="top"/>
          </w:tcPr>
          <w:p>
            <w:pPr>
              <w:spacing w:after="0"/>
            </w:pPr>
            <w:r>
              <w:rPr>
                <w:rFonts w:ascii="Times New Roman" w:hAnsi="Times New Roman"/>
                <w:sz w:val="14"/>
              </w:rPr>
              <w:t>Ex. 31:17</w:t>
            </w:r>
          </w:p>
        </w:tc>
        <w:tc>
          <w:tcPr>
            <w:tcW w:type="dxa" w:w="3561"/>
            <w:vAlign w:val="top"/>
          </w:tcPr>
          <w:p>
            <w:pPr>
              <w:spacing w:after="0"/>
            </w:pPr>
            <w:r>
              <w:rPr>
                <w:rFonts w:ascii="Times New Roman" w:hAnsi="Times New Roman"/>
                <w:sz w:val="14"/>
              </w:rPr>
              <w:t>vayinnaphash</w:t>
            </w:r>
          </w:p>
        </w:tc>
        <w:tc>
          <w:tcPr>
            <w:tcW w:type="dxa" w:w="3561"/>
            <w:vAlign w:val="top"/>
          </w:tcPr>
          <w:p>
            <w:pPr>
              <w:spacing w:after="0"/>
            </w:pPr>
            <w:r>
              <w:rPr>
                <w:rFonts w:ascii="Times New Roman" w:hAnsi="Times New Roman"/>
                <w:sz w:val="14"/>
              </w:rPr>
              <w:t>Rested/was refreshed; anthropomorphic, not Divine fatigue.</w:t>
            </w:r>
          </w:p>
        </w:tc>
      </w:tr>
      <w:tr>
        <w:tc>
          <w:tcPr>
            <w:tcW w:type="dxa" w:w="3561"/>
            <w:vAlign w:val="top"/>
          </w:tcPr>
          <w:p>
            <w:pPr>
              <w:spacing w:after="0"/>
            </w:pPr>
            <w:r>
              <w:rPr>
                <w:rFonts w:ascii="Times New Roman" w:hAnsi="Times New Roman"/>
                <w:sz w:val="14"/>
              </w:rPr>
              <w:t>Isa. 40:28</w:t>
            </w:r>
          </w:p>
        </w:tc>
        <w:tc>
          <w:tcPr>
            <w:tcW w:type="dxa" w:w="3561"/>
            <w:vAlign w:val="top"/>
          </w:tcPr>
          <w:p>
            <w:pPr>
              <w:spacing w:after="0"/>
            </w:pPr>
            <w:r>
              <w:rPr>
                <w:rFonts w:ascii="Times New Roman" w:hAnsi="Times New Roman"/>
                <w:sz w:val="14"/>
              </w:rPr>
              <w:t>Creator not weary</w:t>
            </w:r>
          </w:p>
        </w:tc>
        <w:tc>
          <w:tcPr>
            <w:tcW w:type="dxa" w:w="3561"/>
            <w:vAlign w:val="top"/>
          </w:tcPr>
          <w:p>
            <w:pPr>
              <w:spacing w:after="0"/>
            </w:pPr>
            <w:r>
              <w:rPr>
                <w:rFonts w:ascii="Times New Roman" w:hAnsi="Times New Roman"/>
                <w:sz w:val="14"/>
              </w:rPr>
              <w:t>Controls interpretation of “refreshed.”</w:t>
            </w:r>
          </w:p>
        </w:tc>
      </w:tr>
      <w:tr>
        <w:tc>
          <w:tcPr>
            <w:tcW w:type="dxa" w:w="3561"/>
            <w:vAlign w:val="top"/>
          </w:tcPr>
          <w:p>
            <w:pPr>
              <w:spacing w:after="0"/>
            </w:pPr>
            <w:r>
              <w:rPr>
                <w:rFonts w:ascii="Times New Roman" w:hAnsi="Times New Roman"/>
                <w:sz w:val="14"/>
              </w:rPr>
              <w:t>Col. 2:16–17</w:t>
            </w:r>
          </w:p>
        </w:tc>
        <w:tc>
          <w:tcPr>
            <w:tcW w:type="dxa" w:w="3561"/>
            <w:vAlign w:val="top"/>
          </w:tcPr>
          <w:p>
            <w:pPr>
              <w:spacing w:after="0"/>
            </w:pPr>
            <w:r>
              <w:rPr>
                <w:rFonts w:ascii="Times New Roman" w:hAnsi="Times New Roman"/>
                <w:sz w:val="14"/>
              </w:rPr>
              <w:t>sabbath days</w:t>
            </w:r>
          </w:p>
        </w:tc>
        <w:tc>
          <w:tcPr>
            <w:tcW w:type="dxa" w:w="3561"/>
            <w:vAlign w:val="top"/>
          </w:tcPr>
          <w:p>
            <w:pPr>
              <w:spacing w:after="0"/>
            </w:pPr>
            <w:r>
              <w:rPr>
                <w:rFonts w:ascii="Times New Roman" w:hAnsi="Times New Roman"/>
                <w:sz w:val="14"/>
              </w:rPr>
              <w:t>NT prevents imposing Mosaic Sabbath judgment on believers.</w:t>
            </w:r>
          </w:p>
        </w:tc>
      </w:tr>
      <w:tr>
        <w:tc>
          <w:tcPr>
            <w:tcW w:type="dxa" w:w="3561"/>
            <w:vAlign w:val="top"/>
          </w:tcPr>
          <w:p>
            <w:pPr>
              <w:spacing w:after="0"/>
            </w:pPr>
            <w:r>
              <w:rPr>
                <w:rFonts w:ascii="Times New Roman" w:hAnsi="Times New Roman"/>
                <w:sz w:val="14"/>
              </w:rPr>
              <w:t>Ex. 31:18</w:t>
            </w:r>
          </w:p>
        </w:tc>
        <w:tc>
          <w:tcPr>
            <w:tcW w:type="dxa" w:w="3561"/>
            <w:vAlign w:val="top"/>
          </w:tcPr>
          <w:p>
            <w:pPr>
              <w:spacing w:after="0"/>
            </w:pPr>
            <w:r>
              <w:rPr>
                <w:rFonts w:ascii="Times New Roman" w:hAnsi="Times New Roman"/>
                <w:sz w:val="14"/>
              </w:rPr>
              <w:t>finger of God</w:t>
            </w:r>
          </w:p>
        </w:tc>
        <w:tc>
          <w:tcPr>
            <w:tcW w:type="dxa" w:w="3561"/>
            <w:vAlign w:val="top"/>
          </w:tcPr>
          <w:p>
            <w:pPr>
              <w:spacing w:after="0"/>
            </w:pPr>
            <w:r>
              <w:rPr>
                <w:rFonts w:ascii="Times New Roman" w:hAnsi="Times New Roman"/>
                <w:sz w:val="14"/>
              </w:rPr>
              <w:t>Direct Divine authorship/authority of tablets.</w:t>
            </w:r>
          </w:p>
        </w:tc>
      </w:tr>
    </w:tbl>
    <w:p>
      <w:pPr>
        <w:pStyle w:val="Heading1"/>
      </w:pPr>
      <w:r>
        <w:t>RESIDUAL UNCERTAINTIES</w:t>
      </w:r>
    </w:p>
    <w:p>
      <w:pPr/>
      <w:r>
        <w:rPr>
          <w:i w:val="0"/>
        </w:rPr>
        <w:t>The precise way in which the Spirit’s craftsmanship gift operated is not described beyond wisdom, understanding, knowledge and workmanship. “Perpetual” Sabbath language must be read within its explicit covenant address to Israel and the later New Testament treatment of sabbath observance. Mansfield’s broader Sabbath chronology remains interpretive.</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EXODUS 31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3"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4" w:after="15"/>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35" w:after="15"/>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