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32</w:t>
      </w:r>
    </w:p>
    <w:p>
      <w:pPr>
        <w:pStyle w:val="Subtitle"/>
      </w:pPr>
      <w:r>
        <w:t>THE GOLDEN CALF • STEPS IN BACKSLIDING • MOSES INTERCEDES • THE TABLETS BROKEN • AARON’S FAILURE • “WHO IS ON YAHWEH’S SIDE?” • MOSES PLEADS AGAIN</w:t>
      </w:r>
    </w:p>
    <w:p>
      <w:pPr/>
      <w:r>
        <w:rPr>
          <w:i/>
        </w:rPr>
        <w:t>H. P. Mansfield Bible notes — checked and arranged in verse-by-verse Expositor style</w:t>
      </w:r>
    </w:p>
    <w:p>
      <w:pPr/>
      <w:r>
        <w:rPr>
          <w:i w:val="0"/>
        </w:rPr>
        <w:t>Source: HPB 02-Gen42-Lev11.pdf, principally Exodus 32 photographed pages 68–70</w:t>
      </w:r>
    </w:p>
    <w:p>
      <w:pPr>
        <w:pStyle w:val="Heading1"/>
      </w:pPr>
      <w:r>
        <w:t>CHAPTER OVERVIEW</w:t>
      </w:r>
    </w:p>
    <w:p>
      <w:pPr/>
      <w:r>
        <w:rPr>
          <w:i w:val="0"/>
        </w:rPr>
        <w:t>Exodus 32 interrupts the sanctuary revelation with deliberate irony. While Moses receives God’s pattern and God-written tablets on the mountain, Israel below demands a visible deity and constructs worship according to its own desire.</w:t>
      </w:r>
    </w:p>
    <w:p>
      <w:pPr/>
      <w:r>
        <w:rPr>
          <w:i w:val="0"/>
        </w:rPr>
        <w:t>Mansfield’s “steps in backsliding” outline is an effective reading of the narrative progression: impatience, desire for visible religion, compromise of Yahweh’s Name with false form, then moral licence. The chapter also contrasts Aaron’s self-protection with Moses’ self-giving intercession.</w:t>
      </w:r>
    </w:p>
    <w:p>
      <w:pPr>
        <w:pStyle w:val="Heading1"/>
      </w:pPr>
      <w:r>
        <w:t>THE CALF MADE AND WORSHIPPED — EXODUS 32:1–6</w:t>
      </w:r>
    </w:p>
    <w:p>
      <w:pPr>
        <w:pStyle w:val="Heading2"/>
      </w:pPr>
      <w:r>
        <w:t>Exodus 32:1 — impatience with the unseen</w:t>
      </w:r>
    </w:p>
    <w:p>
      <w:pPr/>
      <w:r>
        <w:rPr>
          <w:i w:val="0"/>
        </w:rPr>
        <w:t>Because Moses “delayed” to descend, the people gather against Aaron and demand, “make us gods, which shall go before us.” Their complaint identifies Moses as “the man” who brought them from Egypt, already displacing memory of Yahweh as the actual Deliverer.</w:t>
      </w:r>
    </w:p>
    <w:p>
      <w:pPr/>
      <w:r>
        <w:rPr>
          <w:i w:val="0"/>
        </w:rPr>
        <w:t>Waiting is the first test they fail: absence of the visible mediator becomes an excuse to construct visible religion.</w:t>
      </w:r>
    </w:p>
    <w:p>
      <w:pPr>
        <w:pStyle w:val="Heading2"/>
      </w:pPr>
      <w:r>
        <w:t>Exodus 32:2–4 — the molten calf</w:t>
      </w:r>
    </w:p>
    <w:p>
      <w:pPr/>
      <w:r>
        <w:rPr>
          <w:i w:val="0"/>
        </w:rPr>
        <w:t>Aaron collects gold earrings and fashions the metal into an ‘egel massekhah, molten calf. Verse 4’s description involving a cheret is lexically difficult: it can refer to an engraving/stylus tool or a mould/forming implement. The exact manufacturing technique should not be over-reconstructed.</w:t>
      </w:r>
    </w:p>
    <w:p>
      <w:pPr/>
      <w:r>
        <w:rPr>
          <w:i w:val="0"/>
        </w:rPr>
        <w:t>The proclamation “These be thy gods, O Israel” uses the plural form elohim with a single calf in view, reflecting the elastic grammatical/religious use of elohim and a formula later echoed by Jeroboam’s calves (1 Kings 12:28). The central blasphemy is clear: a human-made object is credited with the Exodus.</w:t>
      </w:r>
    </w:p>
    <w:p>
      <w:pPr>
        <w:pStyle w:val="Heading2"/>
      </w:pPr>
      <w:r>
        <w:t>Exodus 32:5–6 — a feast to Yahweh becomes idolatry</w:t>
      </w:r>
    </w:p>
    <w:p>
      <w:pPr/>
      <w:r>
        <w:rPr>
          <w:i w:val="0"/>
        </w:rPr>
        <w:t>Aaron builds an altar and proclaims “a feast to Yahweh.” This is not merely replacing Yahweh’s name; it is syncretism—attempting to honour Yahweh through a form He has forbidden.</w:t>
      </w:r>
    </w:p>
    <w:p>
      <w:pPr/>
      <w:r>
        <w:rPr>
          <w:i w:val="0"/>
        </w:rPr>
        <w:t>The people sacrifice, eat, drink and “rise up to play.” Tsachaq can mean laugh/play and can carry sexual or revelrous overtones depending on context. First Corinthians 10:7 explicitly quotes this verse in warning Christians against idolatry, so the moral connection is inspired even where the exact behaviour is not exhaustively described.</w:t>
      </w:r>
    </w:p>
    <w:p>
      <w:pPr>
        <w:pStyle w:val="Heading1"/>
      </w:pPr>
      <w:r>
        <w:t>YAHWEH DECLARES JUDGMENT; MOSES INTERCEDES — EXODUS 32:7–14</w:t>
      </w:r>
    </w:p>
    <w:p>
      <w:pPr>
        <w:pStyle w:val="Heading2"/>
      </w:pPr>
      <w:r>
        <w:t>Exodus 32:7–10 — corrupted and stiff-necked</w:t>
      </w:r>
    </w:p>
    <w:p>
      <w:pPr/>
      <w:r>
        <w:rPr>
          <w:i w:val="0"/>
        </w:rPr>
        <w:t>Yahweh calls them “thy people” to Moses and says they have shichet, corrupted/ruined themselves, turning aside quickly. They are qesheh-‘oref, stiff-necked: resistant to the yoke of Divine direction.</w:t>
      </w:r>
    </w:p>
    <w:p>
      <w:pPr/>
      <w:r>
        <w:rPr>
          <w:i w:val="0"/>
        </w:rPr>
        <w:t>Yahweh announces consuming judgment and the possibility of making a great nation from Moses. This becomes a severe test of whether Moses will prefer personal greatness to the preservation of the covenant people.</w:t>
      </w:r>
    </w:p>
    <w:p>
      <w:pPr>
        <w:pStyle w:val="Heading2"/>
      </w:pPr>
      <w:r>
        <w:t>Exodus 32:11–13 — intercession grounded in Yahweh’s purpose</w:t>
      </w:r>
    </w:p>
    <w:p>
      <w:pPr/>
      <w:r>
        <w:rPr>
          <w:i w:val="0"/>
        </w:rPr>
        <w:t>Moses appeals first to Yahweh’s reputation before Egypt, then to His sworn promises to Abraham, Isaac and Israel. He does not minimise the sin; he pleads the consistency of the revealed Divine purpose.</w:t>
      </w:r>
    </w:p>
    <w:p>
      <w:pPr/>
      <w:r>
        <w:rPr>
          <w:i w:val="0"/>
        </w:rPr>
        <w:t>Psalm 106:19–23 later explicitly remembers Moses as standing “in the breach” to turn away destructive wrath.</w:t>
      </w:r>
    </w:p>
    <w:p>
      <w:pPr>
        <w:pStyle w:val="Heading2"/>
      </w:pPr>
      <w:r>
        <w:t>Exodus 32:14 — Yahweh “repented” / relented</w:t>
      </w:r>
    </w:p>
    <w:p>
      <w:pPr/>
      <w:r>
        <w:rPr>
          <w:i w:val="0"/>
        </w:rPr>
        <w:t>Nacham here is best rendered relented/changed the announced course of action. It does not imply that God discovered an error, lacked foreknowledge or became morally sorry for a mistake. The announced judgment is genuinely responsive to covenant intercession within the Divine purpose.</w:t>
      </w:r>
    </w:p>
    <w:p>
      <w:pPr>
        <w:pStyle w:val="Heading1"/>
      </w:pPr>
      <w:r>
        <w:t>THE TABLETS BROKEN AND THE CALF DESTROYED — EXODUS 32:15–20</w:t>
      </w:r>
    </w:p>
    <w:p>
      <w:pPr>
        <w:pStyle w:val="Heading2"/>
      </w:pPr>
      <w:r>
        <w:t>Exodus 32:15–16 — God’s work and God’s writing</w:t>
      </w:r>
    </w:p>
    <w:p>
      <w:pPr/>
      <w:r>
        <w:rPr>
          <w:i w:val="0"/>
        </w:rPr>
        <w:t>The two tablets are written on both sides and are described as the work of God and the writing of God. Their Divine origin intensifies the contrast with the manufactured calf.</w:t>
      </w:r>
    </w:p>
    <w:p>
      <w:pPr>
        <w:pStyle w:val="Heading2"/>
      </w:pPr>
      <w:r>
        <w:t>Exodus 32:17–18 — Joshua hears; Moses understands</w:t>
      </w:r>
    </w:p>
    <w:p>
      <w:pPr/>
      <w:r>
        <w:rPr>
          <w:i w:val="0"/>
        </w:rPr>
        <w:t>Joshua hears the camp and first interprets the sound as war. Moses, already informed by Yahweh, recognises that it is neither the shout of victory nor defeat but singing.</w:t>
      </w:r>
    </w:p>
    <w:p>
      <w:pPr>
        <w:pStyle w:val="Heading2"/>
      </w:pPr>
      <w:r>
        <w:t>Exodus 32:19 — tablets broken beneath the mount</w:t>
      </w:r>
    </w:p>
    <w:p>
      <w:pPr/>
      <w:r>
        <w:rPr>
          <w:i w:val="0"/>
        </w:rPr>
        <w:t>On seeing calf and dancing, Moses breaks the tablets. The narrative does not explicitly explain the symbolism, but Mansfield’s interpretation is natural: Israel has already broken the covenant embodied by the tablets before Moses physically shatters them.</w:t>
      </w:r>
    </w:p>
    <w:p>
      <w:pPr>
        <w:pStyle w:val="Heading2"/>
      </w:pPr>
      <w:r>
        <w:t>Exodus 32:20 — the idol reduced to nothing</w:t>
      </w:r>
    </w:p>
    <w:p>
      <w:pPr/>
      <w:r>
        <w:rPr>
          <w:i w:val="0"/>
        </w:rPr>
        <w:t>Moses burns the calf, grinds it fine, scatters it on water and makes Israel drink. The procedure humiliates the idol and makes its powerlessness tangible. Exact metallurgical details need not be reconstructed for the theological point.</w:t>
      </w:r>
    </w:p>
    <w:p>
      <w:pPr>
        <w:pStyle w:val="Heading1"/>
      </w:pPr>
      <w:r>
        <w:t>AARON’S FAILURE AND LEVITICAL SEPARATION — EXODUS 32:21–29</w:t>
      </w:r>
    </w:p>
    <w:p>
      <w:pPr>
        <w:pStyle w:val="Heading2"/>
      </w:pPr>
      <w:r>
        <w:t>Exodus 32:21–24 — Aaron transfers blame</w:t>
      </w:r>
    </w:p>
    <w:p>
      <w:pPr/>
      <w:r>
        <w:rPr>
          <w:i w:val="0"/>
        </w:rPr>
        <w:t>Aaron blames the people’s inclination to evil and then gives the evasive summary, “I cast it into the fire, and there came out this calf.” His account omits his own deliberate shaping described in verse 4.</w:t>
      </w:r>
    </w:p>
    <w:p>
      <w:pPr/>
      <w:r>
        <w:rPr>
          <w:i w:val="0"/>
        </w:rPr>
        <w:t>The contrast with Moses is sharp: Aaron protects himself; Moses repeatedly risks himself for the people.</w:t>
      </w:r>
    </w:p>
    <w:p>
      <w:pPr>
        <w:pStyle w:val="Heading2"/>
      </w:pPr>
      <w:r>
        <w:t>Exodus 32:25 — “naked” means unrestrained</w:t>
      </w:r>
    </w:p>
    <w:p>
      <w:pPr/>
      <w:r>
        <w:rPr>
          <w:i w:val="0"/>
        </w:rPr>
        <w:t>The KJV says Moses saw that the people were “naked.” The Hebrew para‘ means let loose, unrestrained, out of control or exposed to shame. Physical nudity is not required by the word. This is an important correction to interpretations that build the verse primarily around literal nakedness.</w:t>
      </w:r>
    </w:p>
    <w:p>
      <w:pPr>
        <w:pStyle w:val="Heading2"/>
      </w:pPr>
      <w:r>
        <w:t>Exodus 32:26–29 — “Who is on Yahweh’s side?”</w:t>
      </w:r>
    </w:p>
    <w:p>
      <w:pPr/>
      <w:r>
        <w:rPr>
          <w:i w:val="0"/>
        </w:rPr>
        <w:t>Moses stands in the gate and calls for those loyal to Yahweh; the sons of Levi gather to him. They execute severe covenant judgment through the camp and about three thousand men die.</w:t>
      </w:r>
    </w:p>
    <w:p>
      <w:pPr/>
      <w:r>
        <w:rPr>
          <w:i w:val="0"/>
        </w:rPr>
        <w:t>Verse 29 uses the “fill your hand” consecration/installation idiom in a difficult construction. The event contributes to Levi’s later association with zealous service, but the formal Aaronic/Levitical appointments are established through the wider Torah, not by treating this one verse as the sole origin of the priesthood.</w:t>
      </w:r>
    </w:p>
    <w:p>
      <w:pPr>
        <w:pStyle w:val="Heading1"/>
      </w:pPr>
      <w:r>
        <w:t>MOSES RETURNS TO INTERCEDE — EXODUS 32:30–35</w:t>
      </w:r>
    </w:p>
    <w:p>
      <w:pPr>
        <w:pStyle w:val="Heading2"/>
      </w:pPr>
      <w:r>
        <w:t>Exodus 32:30–32 — “blot me … out of thy book”</w:t>
      </w:r>
    </w:p>
    <w:p>
      <w:pPr/>
      <w:r>
        <w:rPr>
          <w:i w:val="0"/>
        </w:rPr>
        <w:t>Moses tells Israel, “Ye have sinned a great sin,” and returns to seek atonement. His plea to be blotted from Yahweh’s “book” if Israel cannot be forgiven expresses extraordinary identification with the people.</w:t>
      </w:r>
    </w:p>
    <w:p>
      <w:pPr/>
      <w:r>
        <w:rPr>
          <w:i w:val="0"/>
        </w:rPr>
        <w:t>The “book” is best understood as Divine registration of those belonging/living before God; the verse does not require the doctrine of an immortal conscious soul. Compare Psalm 69:28 for book-of-living language.</w:t>
      </w:r>
    </w:p>
    <w:p>
      <w:pPr>
        <w:pStyle w:val="Heading2"/>
      </w:pPr>
      <w:r>
        <w:t>Exodus 32:33–35 — personal responsibility remains</w:t>
      </w:r>
    </w:p>
    <w:p>
      <w:pPr/>
      <w:r>
        <w:rPr>
          <w:i w:val="0"/>
        </w:rPr>
        <w:t>Yahweh answers that the one who sins is the one blotted from His book. Moses is commanded to continue leading; the Angel will go before him, yet judgment is not simply erased and a plague follows.</w:t>
      </w:r>
    </w:p>
    <w:p>
      <w:pPr/>
      <w:r>
        <w:rPr>
          <w:i w:val="0"/>
        </w:rPr>
        <w:t>Intercession therefore preserves the nation without redefining guilt as innocence. Mercy and accountability remain together.</w:t>
      </w:r>
    </w:p>
    <w:p>
      <w:pPr>
        <w:pStyle w:val="Heading1"/>
      </w:pPr>
      <w:r>
        <w:t>MANSFIELD’S STEPS IN BACKSLIDING</w:t>
      </w:r>
    </w:p>
    <w:p>
      <w:pPr>
        <w:pStyle w:val="Heading2"/>
      </w:pPr>
      <w:r>
        <w:t>The diagnostic sequence</w:t>
      </w:r>
    </w:p>
    <w:p>
      <w:pPr/>
      <w:r>
        <w:rPr>
          <w:i w:val="0"/>
        </w:rPr>
        <w:t>1. Impatience when God’s visible servant appears absent. 2. Desire for a controllable visible substitute. 3. Religious compromise that attaches Yahweh’s Name to a forbidden form. 4. Moral release once true worship has been discarded.</w:t>
      </w:r>
    </w:p>
    <w:p>
      <w:pPr/>
      <w:r>
        <w:rPr>
          <w:i w:val="0"/>
        </w:rPr>
        <w:t>The outline is not merely psychological speculation; it closely follows the chapter’s narrative movement from verse 1 through verse 6.</w:t>
      </w:r>
    </w:p>
    <w:p>
      <w:pPr>
        <w:pStyle w:val="Heading1"/>
      </w:pPr>
      <w:r>
        <w:t>PRINCIPAL THEMES</w:t>
      </w:r>
    </w:p>
    <w:p>
      <w:pPr>
        <w:ind w:left="259" w:hanging="202"/>
      </w:pPr>
      <w:r>
        <w:rPr>
          <w:b/>
        </w:rPr>
        <w:t xml:space="preserve">• </w:t>
      </w:r>
      <w:r>
        <w:t>Impatience can become the doorway to self-made religion.</w:t>
      </w:r>
    </w:p>
    <w:p>
      <w:pPr>
        <w:ind w:left="259" w:hanging="202"/>
      </w:pPr>
      <w:r>
        <w:rPr>
          <w:b/>
        </w:rPr>
        <w:t xml:space="preserve">• </w:t>
      </w:r>
      <w:r>
        <w:t>Visible religious substitutes are especially dangerous when credited with God’s saving work.</w:t>
      </w:r>
    </w:p>
    <w:p>
      <w:pPr>
        <w:ind w:left="259" w:hanging="202"/>
      </w:pPr>
      <w:r>
        <w:rPr>
          <w:b/>
        </w:rPr>
        <w:t xml:space="preserve">• </w:t>
      </w:r>
      <w:r>
        <w:t>Syncretism can retain Yahweh’s Name while abandoning Yahweh’s appointed worship.</w:t>
      </w:r>
    </w:p>
    <w:p>
      <w:pPr>
        <w:ind w:left="259" w:hanging="202"/>
      </w:pPr>
      <w:r>
        <w:rPr>
          <w:b/>
        </w:rPr>
        <w:t xml:space="preserve">• </w:t>
      </w:r>
      <w:r>
        <w:t>Idolatrous corruption and moral loss of restraint develop together.</w:t>
      </w:r>
    </w:p>
    <w:p>
      <w:pPr>
        <w:ind w:left="259" w:hanging="202"/>
      </w:pPr>
      <w:r>
        <w:rPr>
          <w:b/>
        </w:rPr>
        <w:t xml:space="preserve">• </w:t>
      </w:r>
      <w:r>
        <w:t>Moses intercedes from Yahweh’s reputation and covenant promises, not Israel’s merit.</w:t>
      </w:r>
    </w:p>
    <w:p>
      <w:pPr>
        <w:ind w:left="259" w:hanging="202"/>
      </w:pPr>
      <w:r>
        <w:rPr>
          <w:b/>
        </w:rPr>
        <w:t xml:space="preserve">• </w:t>
      </w:r>
      <w:r>
        <w:t>Divine relenting does not imply Divine ignorance or error.</w:t>
      </w:r>
    </w:p>
    <w:p>
      <w:pPr>
        <w:ind w:left="259" w:hanging="202"/>
      </w:pPr>
      <w:r>
        <w:rPr>
          <w:b/>
        </w:rPr>
        <w:t xml:space="preserve">• </w:t>
      </w:r>
      <w:r>
        <w:t>KJV “naked” in verse 25 is better read as unrestrained/out of control.</w:t>
      </w:r>
    </w:p>
    <w:p>
      <w:pPr>
        <w:ind w:left="259" w:hanging="202"/>
      </w:pPr>
      <w:r>
        <w:rPr>
          <w:b/>
        </w:rPr>
        <w:t xml:space="preserve">• </w:t>
      </w:r>
      <w:r>
        <w:t>Moses’ self-giving intercession contrasts sharply with Aaron’s self-excusing leadership.</w:t>
      </w:r>
    </w:p>
    <w:p>
      <w:pPr>
        <w:ind w:left="259" w:hanging="202"/>
      </w:pPr>
      <w:r>
        <w:rPr>
          <w:b/>
        </w:rPr>
        <w:t xml:space="preserve">• </w:t>
      </w:r>
      <w:r>
        <w:t>Mercy preserves the covenant people while personal accountability remains.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32:1</w:t>
            </w:r>
          </w:p>
        </w:tc>
        <w:tc>
          <w:tcPr>
            <w:tcW w:type="dxa" w:w="3561"/>
            <w:vAlign w:val="top"/>
          </w:tcPr>
          <w:p>
            <w:pPr>
              <w:spacing w:after="0"/>
            </w:pPr>
            <w:r>
              <w:rPr>
                <w:rFonts w:ascii="Times New Roman" w:hAnsi="Times New Roman"/>
                <w:sz w:val="14"/>
              </w:rPr>
              <w:t>delay/impatience</w:t>
            </w:r>
          </w:p>
        </w:tc>
        <w:tc>
          <w:tcPr>
            <w:tcW w:type="dxa" w:w="3561"/>
            <w:vAlign w:val="top"/>
          </w:tcPr>
          <w:p>
            <w:pPr>
              <w:spacing w:after="0"/>
            </w:pPr>
            <w:r>
              <w:rPr>
                <w:rFonts w:ascii="Times New Roman" w:hAnsi="Times New Roman"/>
                <w:sz w:val="14"/>
              </w:rPr>
              <w:t>Visible absence becomes pretext for self-made worship.</w:t>
            </w:r>
          </w:p>
        </w:tc>
      </w:tr>
      <w:tr>
        <w:tc>
          <w:tcPr>
            <w:tcW w:type="dxa" w:w="3561"/>
            <w:vAlign w:val="top"/>
          </w:tcPr>
          <w:p>
            <w:pPr>
              <w:spacing w:after="0"/>
            </w:pPr>
            <w:r>
              <w:rPr>
                <w:rFonts w:ascii="Times New Roman" w:hAnsi="Times New Roman"/>
                <w:sz w:val="14"/>
              </w:rPr>
              <w:t>Ex. 32:4</w:t>
            </w:r>
          </w:p>
        </w:tc>
        <w:tc>
          <w:tcPr>
            <w:tcW w:type="dxa" w:w="3561"/>
            <w:vAlign w:val="top"/>
          </w:tcPr>
          <w:p>
            <w:pPr>
              <w:spacing w:after="0"/>
            </w:pPr>
            <w:r>
              <w:rPr>
                <w:rFonts w:ascii="Times New Roman" w:hAnsi="Times New Roman"/>
                <w:sz w:val="14"/>
              </w:rPr>
              <w:t>‘egel massekhah</w:t>
            </w:r>
          </w:p>
        </w:tc>
        <w:tc>
          <w:tcPr>
            <w:tcW w:type="dxa" w:w="3561"/>
            <w:vAlign w:val="top"/>
          </w:tcPr>
          <w:p>
            <w:pPr>
              <w:spacing w:after="0"/>
            </w:pPr>
            <w:r>
              <w:rPr>
                <w:rFonts w:ascii="Times New Roman" w:hAnsi="Times New Roman"/>
                <w:sz w:val="14"/>
              </w:rPr>
              <w:t>Molten calf.</w:t>
            </w:r>
          </w:p>
        </w:tc>
      </w:tr>
      <w:tr>
        <w:tc>
          <w:tcPr>
            <w:tcW w:type="dxa" w:w="3561"/>
            <w:vAlign w:val="top"/>
          </w:tcPr>
          <w:p>
            <w:pPr>
              <w:spacing w:after="0"/>
            </w:pPr>
            <w:r>
              <w:rPr>
                <w:rFonts w:ascii="Times New Roman" w:hAnsi="Times New Roman"/>
                <w:sz w:val="14"/>
              </w:rPr>
              <w:t>Ex. 32:4</w:t>
            </w:r>
          </w:p>
        </w:tc>
        <w:tc>
          <w:tcPr>
            <w:tcW w:type="dxa" w:w="3561"/>
            <w:vAlign w:val="top"/>
          </w:tcPr>
          <w:p>
            <w:pPr>
              <w:spacing w:after="0"/>
            </w:pPr>
            <w:r>
              <w:rPr>
                <w:rFonts w:ascii="Times New Roman" w:hAnsi="Times New Roman"/>
                <w:sz w:val="14"/>
              </w:rPr>
              <w:t>cheret</w:t>
            </w:r>
          </w:p>
        </w:tc>
        <w:tc>
          <w:tcPr>
            <w:tcW w:type="dxa" w:w="3561"/>
            <w:vAlign w:val="top"/>
          </w:tcPr>
          <w:p>
            <w:pPr>
              <w:spacing w:after="0"/>
            </w:pPr>
            <w:r>
              <w:rPr>
                <w:rFonts w:ascii="Times New Roman" w:hAnsi="Times New Roman"/>
                <w:sz w:val="14"/>
              </w:rPr>
              <w:t>Tool/forming term uncertain; exact manufacturing technique debated.</w:t>
            </w:r>
          </w:p>
        </w:tc>
      </w:tr>
      <w:tr>
        <w:tc>
          <w:tcPr>
            <w:tcW w:type="dxa" w:w="3561"/>
            <w:vAlign w:val="top"/>
          </w:tcPr>
          <w:p>
            <w:pPr>
              <w:spacing w:after="0"/>
            </w:pPr>
            <w:r>
              <w:rPr>
                <w:rFonts w:ascii="Times New Roman" w:hAnsi="Times New Roman"/>
                <w:sz w:val="14"/>
              </w:rPr>
              <w:t>Ex. 32:4</w:t>
            </w:r>
          </w:p>
        </w:tc>
        <w:tc>
          <w:tcPr>
            <w:tcW w:type="dxa" w:w="3561"/>
            <w:vAlign w:val="top"/>
          </w:tcPr>
          <w:p>
            <w:pPr>
              <w:spacing w:after="0"/>
            </w:pPr>
            <w:r>
              <w:rPr>
                <w:rFonts w:ascii="Times New Roman" w:hAnsi="Times New Roman"/>
                <w:sz w:val="14"/>
              </w:rPr>
              <w:t>elohim with calf</w:t>
            </w:r>
          </w:p>
        </w:tc>
        <w:tc>
          <w:tcPr>
            <w:tcW w:type="dxa" w:w="3561"/>
            <w:vAlign w:val="top"/>
          </w:tcPr>
          <w:p>
            <w:pPr>
              <w:spacing w:after="0"/>
            </w:pPr>
            <w:r>
              <w:rPr>
                <w:rFonts w:ascii="Times New Roman" w:hAnsi="Times New Roman"/>
                <w:sz w:val="14"/>
              </w:rPr>
              <w:t>Plural-form Divine term used in idolatrous proclamation.</w:t>
            </w:r>
          </w:p>
        </w:tc>
      </w:tr>
      <w:tr>
        <w:tc>
          <w:tcPr>
            <w:tcW w:type="dxa" w:w="3561"/>
            <w:vAlign w:val="top"/>
          </w:tcPr>
          <w:p>
            <w:pPr>
              <w:spacing w:after="0"/>
            </w:pPr>
            <w:r>
              <w:rPr>
                <w:rFonts w:ascii="Times New Roman" w:hAnsi="Times New Roman"/>
                <w:sz w:val="14"/>
              </w:rPr>
              <w:t>1 Kings 12:28</w:t>
            </w:r>
          </w:p>
        </w:tc>
        <w:tc>
          <w:tcPr>
            <w:tcW w:type="dxa" w:w="3561"/>
            <w:vAlign w:val="top"/>
          </w:tcPr>
          <w:p>
            <w:pPr>
              <w:spacing w:after="0"/>
            </w:pPr>
            <w:r>
              <w:rPr>
                <w:rFonts w:ascii="Times New Roman" w:hAnsi="Times New Roman"/>
                <w:sz w:val="14"/>
              </w:rPr>
              <w:t>calf formula repeated</w:t>
            </w:r>
          </w:p>
        </w:tc>
        <w:tc>
          <w:tcPr>
            <w:tcW w:type="dxa" w:w="3561"/>
            <w:vAlign w:val="top"/>
          </w:tcPr>
          <w:p>
            <w:pPr>
              <w:spacing w:after="0"/>
            </w:pPr>
            <w:r>
              <w:rPr>
                <w:rFonts w:ascii="Times New Roman" w:hAnsi="Times New Roman"/>
                <w:sz w:val="14"/>
              </w:rPr>
              <w:t>Jeroboam later echoes Exodus wording.</w:t>
            </w:r>
          </w:p>
        </w:tc>
      </w:tr>
      <w:tr>
        <w:tc>
          <w:tcPr>
            <w:tcW w:type="dxa" w:w="3561"/>
            <w:vAlign w:val="top"/>
          </w:tcPr>
          <w:p>
            <w:pPr>
              <w:spacing w:after="0"/>
            </w:pPr>
            <w:r>
              <w:rPr>
                <w:rFonts w:ascii="Times New Roman" w:hAnsi="Times New Roman"/>
                <w:sz w:val="14"/>
              </w:rPr>
              <w:t>Ex. 32:5</w:t>
            </w:r>
          </w:p>
        </w:tc>
        <w:tc>
          <w:tcPr>
            <w:tcW w:type="dxa" w:w="3561"/>
            <w:vAlign w:val="top"/>
          </w:tcPr>
          <w:p>
            <w:pPr>
              <w:spacing w:after="0"/>
            </w:pPr>
            <w:r>
              <w:rPr>
                <w:rFonts w:ascii="Times New Roman" w:hAnsi="Times New Roman"/>
                <w:sz w:val="14"/>
              </w:rPr>
              <w:t>feast to Yahweh</w:t>
            </w:r>
          </w:p>
        </w:tc>
        <w:tc>
          <w:tcPr>
            <w:tcW w:type="dxa" w:w="3561"/>
            <w:vAlign w:val="top"/>
          </w:tcPr>
          <w:p>
            <w:pPr>
              <w:spacing w:after="0"/>
            </w:pPr>
            <w:r>
              <w:rPr>
                <w:rFonts w:ascii="Times New Roman" w:hAnsi="Times New Roman"/>
                <w:sz w:val="14"/>
              </w:rPr>
              <w:t>Syncretism: false form attached to Yahweh’s Name.</w:t>
            </w:r>
          </w:p>
        </w:tc>
      </w:tr>
      <w:tr>
        <w:tc>
          <w:tcPr>
            <w:tcW w:type="dxa" w:w="3561"/>
            <w:vAlign w:val="top"/>
          </w:tcPr>
          <w:p>
            <w:pPr>
              <w:spacing w:after="0"/>
            </w:pPr>
            <w:r>
              <w:rPr>
                <w:rFonts w:ascii="Times New Roman" w:hAnsi="Times New Roman"/>
                <w:sz w:val="14"/>
              </w:rPr>
              <w:t>Ex. 32:6</w:t>
            </w:r>
          </w:p>
        </w:tc>
        <w:tc>
          <w:tcPr>
            <w:tcW w:type="dxa" w:w="3561"/>
            <w:vAlign w:val="top"/>
          </w:tcPr>
          <w:p>
            <w:pPr>
              <w:spacing w:after="0"/>
            </w:pPr>
            <w:r>
              <w:rPr>
                <w:rFonts w:ascii="Times New Roman" w:hAnsi="Times New Roman"/>
                <w:sz w:val="14"/>
              </w:rPr>
              <w:t>tsachaq</w:t>
            </w:r>
          </w:p>
        </w:tc>
        <w:tc>
          <w:tcPr>
            <w:tcW w:type="dxa" w:w="3561"/>
            <w:vAlign w:val="top"/>
          </w:tcPr>
          <w:p>
            <w:pPr>
              <w:spacing w:after="0"/>
            </w:pPr>
            <w:r>
              <w:rPr>
                <w:rFonts w:ascii="Times New Roman" w:hAnsi="Times New Roman"/>
                <w:sz w:val="14"/>
              </w:rPr>
              <w:t>Play/laugh/revel; 1 Cor. 10:7 explicitly cites verse as idolatry warning.</w:t>
            </w:r>
          </w:p>
        </w:tc>
      </w:tr>
      <w:tr>
        <w:tc>
          <w:tcPr>
            <w:tcW w:type="dxa" w:w="3561"/>
            <w:vAlign w:val="top"/>
          </w:tcPr>
          <w:p>
            <w:pPr>
              <w:spacing w:after="0"/>
            </w:pPr>
            <w:r>
              <w:rPr>
                <w:rFonts w:ascii="Times New Roman" w:hAnsi="Times New Roman"/>
                <w:sz w:val="14"/>
              </w:rPr>
              <w:t>Ex. 32:7</w:t>
            </w:r>
          </w:p>
        </w:tc>
        <w:tc>
          <w:tcPr>
            <w:tcW w:type="dxa" w:w="3561"/>
            <w:vAlign w:val="top"/>
          </w:tcPr>
          <w:p>
            <w:pPr>
              <w:spacing w:after="0"/>
            </w:pPr>
            <w:r>
              <w:rPr>
                <w:rFonts w:ascii="Times New Roman" w:hAnsi="Times New Roman"/>
                <w:sz w:val="14"/>
              </w:rPr>
              <w:t>shichet</w:t>
            </w:r>
          </w:p>
        </w:tc>
        <w:tc>
          <w:tcPr>
            <w:tcW w:type="dxa" w:w="3561"/>
            <w:vAlign w:val="top"/>
          </w:tcPr>
          <w:p>
            <w:pPr>
              <w:spacing w:after="0"/>
            </w:pPr>
            <w:r>
              <w:rPr>
                <w:rFonts w:ascii="Times New Roman" w:hAnsi="Times New Roman"/>
                <w:sz w:val="14"/>
              </w:rPr>
              <w:t>Corrupt/ruin oneself.</w:t>
            </w:r>
          </w:p>
        </w:tc>
      </w:tr>
      <w:tr>
        <w:tc>
          <w:tcPr>
            <w:tcW w:type="dxa" w:w="3561"/>
            <w:vAlign w:val="top"/>
          </w:tcPr>
          <w:p>
            <w:pPr>
              <w:spacing w:after="0"/>
            </w:pPr>
            <w:r>
              <w:rPr>
                <w:rFonts w:ascii="Times New Roman" w:hAnsi="Times New Roman"/>
                <w:sz w:val="14"/>
              </w:rPr>
              <w:t>Ex. 32:9</w:t>
            </w:r>
          </w:p>
        </w:tc>
        <w:tc>
          <w:tcPr>
            <w:tcW w:type="dxa" w:w="3561"/>
            <w:vAlign w:val="top"/>
          </w:tcPr>
          <w:p>
            <w:pPr>
              <w:spacing w:after="0"/>
            </w:pPr>
            <w:r>
              <w:rPr>
                <w:rFonts w:ascii="Times New Roman" w:hAnsi="Times New Roman"/>
                <w:sz w:val="14"/>
              </w:rPr>
              <w:t>qesheh-‘oref</w:t>
            </w:r>
          </w:p>
        </w:tc>
        <w:tc>
          <w:tcPr>
            <w:tcW w:type="dxa" w:w="3561"/>
            <w:vAlign w:val="top"/>
          </w:tcPr>
          <w:p>
            <w:pPr>
              <w:spacing w:after="0"/>
            </w:pPr>
            <w:r>
              <w:rPr>
                <w:rFonts w:ascii="Times New Roman" w:hAnsi="Times New Roman"/>
                <w:sz w:val="14"/>
              </w:rPr>
              <w:t>Stiff-necked/resistant.</w:t>
            </w:r>
          </w:p>
        </w:tc>
      </w:tr>
      <w:tr>
        <w:tc>
          <w:tcPr>
            <w:tcW w:type="dxa" w:w="3561"/>
            <w:vAlign w:val="top"/>
          </w:tcPr>
          <w:p>
            <w:pPr>
              <w:spacing w:after="0"/>
            </w:pPr>
            <w:r>
              <w:rPr>
                <w:rFonts w:ascii="Times New Roman" w:hAnsi="Times New Roman"/>
                <w:sz w:val="14"/>
              </w:rPr>
              <w:t>Psa. 106:19–23</w:t>
            </w:r>
          </w:p>
        </w:tc>
        <w:tc>
          <w:tcPr>
            <w:tcW w:type="dxa" w:w="3561"/>
            <w:vAlign w:val="top"/>
          </w:tcPr>
          <w:p>
            <w:pPr>
              <w:spacing w:after="0"/>
            </w:pPr>
            <w:r>
              <w:rPr>
                <w:rFonts w:ascii="Times New Roman" w:hAnsi="Times New Roman"/>
                <w:sz w:val="14"/>
              </w:rPr>
              <w:t>Moses in the breach</w:t>
            </w:r>
          </w:p>
        </w:tc>
        <w:tc>
          <w:tcPr>
            <w:tcW w:type="dxa" w:w="3561"/>
            <w:vAlign w:val="top"/>
          </w:tcPr>
          <w:p>
            <w:pPr>
              <w:spacing w:after="0"/>
            </w:pPr>
            <w:r>
              <w:rPr>
                <w:rFonts w:ascii="Times New Roman" w:hAnsi="Times New Roman"/>
                <w:sz w:val="14"/>
              </w:rPr>
              <w:t>Inspired retrospective on calf and intercession.</w:t>
            </w:r>
          </w:p>
        </w:tc>
      </w:tr>
      <w:tr>
        <w:tc>
          <w:tcPr>
            <w:tcW w:type="dxa" w:w="3561"/>
            <w:vAlign w:val="top"/>
          </w:tcPr>
          <w:p>
            <w:pPr>
              <w:spacing w:after="0"/>
            </w:pPr>
            <w:r>
              <w:rPr>
                <w:rFonts w:ascii="Times New Roman" w:hAnsi="Times New Roman"/>
                <w:sz w:val="14"/>
              </w:rPr>
              <w:t>Ex. 32:14</w:t>
            </w:r>
          </w:p>
        </w:tc>
        <w:tc>
          <w:tcPr>
            <w:tcW w:type="dxa" w:w="3561"/>
            <w:vAlign w:val="top"/>
          </w:tcPr>
          <w:p>
            <w:pPr>
              <w:spacing w:after="0"/>
            </w:pPr>
            <w:r>
              <w:rPr>
                <w:rFonts w:ascii="Times New Roman" w:hAnsi="Times New Roman"/>
                <w:sz w:val="14"/>
              </w:rPr>
              <w:t>nacham</w:t>
            </w:r>
          </w:p>
        </w:tc>
        <w:tc>
          <w:tcPr>
            <w:tcW w:type="dxa" w:w="3561"/>
            <w:vAlign w:val="top"/>
          </w:tcPr>
          <w:p>
            <w:pPr>
              <w:spacing w:after="0"/>
            </w:pPr>
            <w:r>
              <w:rPr>
                <w:rFonts w:ascii="Times New Roman" w:hAnsi="Times New Roman"/>
                <w:sz w:val="14"/>
              </w:rPr>
              <w:t>Relent/change announced action; not Divine error.</w:t>
            </w:r>
          </w:p>
        </w:tc>
      </w:tr>
      <w:tr>
        <w:tc>
          <w:tcPr>
            <w:tcW w:type="dxa" w:w="3561"/>
            <w:vAlign w:val="top"/>
          </w:tcPr>
          <w:p>
            <w:pPr>
              <w:spacing w:after="0"/>
            </w:pPr>
            <w:r>
              <w:rPr>
                <w:rFonts w:ascii="Times New Roman" w:hAnsi="Times New Roman"/>
                <w:sz w:val="14"/>
              </w:rPr>
              <w:t>Ex. 32:19</w:t>
            </w:r>
          </w:p>
        </w:tc>
        <w:tc>
          <w:tcPr>
            <w:tcW w:type="dxa" w:w="3561"/>
            <w:vAlign w:val="top"/>
          </w:tcPr>
          <w:p>
            <w:pPr>
              <w:spacing w:after="0"/>
            </w:pPr>
            <w:r>
              <w:rPr>
                <w:rFonts w:ascii="Times New Roman" w:hAnsi="Times New Roman"/>
                <w:sz w:val="14"/>
              </w:rPr>
              <w:t>broken tablets</w:t>
            </w:r>
          </w:p>
        </w:tc>
        <w:tc>
          <w:tcPr>
            <w:tcW w:type="dxa" w:w="3561"/>
            <w:vAlign w:val="top"/>
          </w:tcPr>
          <w:p>
            <w:pPr>
              <w:spacing w:after="0"/>
            </w:pPr>
            <w:r>
              <w:rPr>
                <w:rFonts w:ascii="Times New Roman" w:hAnsi="Times New Roman"/>
                <w:sz w:val="14"/>
              </w:rPr>
              <w:t>Covenant-breach symbolism is strong inference, not stated gloss.</w:t>
            </w:r>
          </w:p>
        </w:tc>
      </w:tr>
      <w:tr>
        <w:tc>
          <w:tcPr>
            <w:tcW w:type="dxa" w:w="3561"/>
            <w:vAlign w:val="top"/>
          </w:tcPr>
          <w:p>
            <w:pPr>
              <w:spacing w:after="0"/>
            </w:pPr>
            <w:r>
              <w:rPr>
                <w:rFonts w:ascii="Times New Roman" w:hAnsi="Times New Roman"/>
                <w:sz w:val="14"/>
              </w:rPr>
              <w:t>Ex. 32:24</w:t>
            </w:r>
          </w:p>
        </w:tc>
        <w:tc>
          <w:tcPr>
            <w:tcW w:type="dxa" w:w="3561"/>
            <w:vAlign w:val="top"/>
          </w:tcPr>
          <w:p>
            <w:pPr>
              <w:spacing w:after="0"/>
            </w:pPr>
            <w:r>
              <w:rPr>
                <w:rFonts w:ascii="Times New Roman" w:hAnsi="Times New Roman"/>
                <w:sz w:val="14"/>
              </w:rPr>
              <w:t>Aaron’s account</w:t>
            </w:r>
          </w:p>
        </w:tc>
        <w:tc>
          <w:tcPr>
            <w:tcW w:type="dxa" w:w="3561"/>
            <w:vAlign w:val="top"/>
          </w:tcPr>
          <w:p>
            <w:pPr>
              <w:spacing w:after="0"/>
            </w:pPr>
            <w:r>
              <w:rPr>
                <w:rFonts w:ascii="Times New Roman" w:hAnsi="Times New Roman"/>
                <w:sz w:val="14"/>
              </w:rPr>
              <w:t>Minimises his active shaping in v.4.</w:t>
            </w:r>
          </w:p>
        </w:tc>
      </w:tr>
      <w:tr>
        <w:tc>
          <w:tcPr>
            <w:tcW w:type="dxa" w:w="3561"/>
            <w:vAlign w:val="top"/>
          </w:tcPr>
          <w:p>
            <w:pPr>
              <w:spacing w:after="0"/>
            </w:pPr>
            <w:r>
              <w:rPr>
                <w:rFonts w:ascii="Times New Roman" w:hAnsi="Times New Roman"/>
                <w:sz w:val="14"/>
              </w:rPr>
              <w:t>Ex. 32:25</w:t>
            </w:r>
          </w:p>
        </w:tc>
        <w:tc>
          <w:tcPr>
            <w:tcW w:type="dxa" w:w="3561"/>
            <w:vAlign w:val="top"/>
          </w:tcPr>
          <w:p>
            <w:pPr>
              <w:spacing w:after="0"/>
            </w:pPr>
            <w:r>
              <w:rPr>
                <w:rFonts w:ascii="Times New Roman" w:hAnsi="Times New Roman"/>
                <w:sz w:val="14"/>
              </w:rPr>
              <w:t>para‘</w:t>
            </w:r>
          </w:p>
        </w:tc>
        <w:tc>
          <w:tcPr>
            <w:tcW w:type="dxa" w:w="3561"/>
            <w:vAlign w:val="top"/>
          </w:tcPr>
          <w:p>
            <w:pPr>
              <w:spacing w:after="0"/>
            </w:pPr>
            <w:r>
              <w:rPr>
                <w:rFonts w:ascii="Times New Roman" w:hAnsi="Times New Roman"/>
                <w:sz w:val="14"/>
              </w:rPr>
              <w:t>Let loose/unrestrained/out of control; KJV “naked” can mislead.</w:t>
            </w:r>
          </w:p>
        </w:tc>
      </w:tr>
      <w:tr>
        <w:tc>
          <w:tcPr>
            <w:tcW w:type="dxa" w:w="3561"/>
            <w:vAlign w:val="top"/>
          </w:tcPr>
          <w:p>
            <w:pPr>
              <w:spacing w:after="0"/>
            </w:pPr>
            <w:r>
              <w:rPr>
                <w:rFonts w:ascii="Times New Roman" w:hAnsi="Times New Roman"/>
                <w:sz w:val="14"/>
              </w:rPr>
              <w:t>Ex. 32:29</w:t>
            </w:r>
          </w:p>
        </w:tc>
        <w:tc>
          <w:tcPr>
            <w:tcW w:type="dxa" w:w="3561"/>
            <w:vAlign w:val="top"/>
          </w:tcPr>
          <w:p>
            <w:pPr>
              <w:spacing w:after="0"/>
            </w:pPr>
            <w:r>
              <w:rPr>
                <w:rFonts w:ascii="Times New Roman" w:hAnsi="Times New Roman"/>
                <w:sz w:val="14"/>
              </w:rPr>
              <w:t>fill the hand</w:t>
            </w:r>
          </w:p>
        </w:tc>
        <w:tc>
          <w:tcPr>
            <w:tcW w:type="dxa" w:w="3561"/>
            <w:vAlign w:val="top"/>
          </w:tcPr>
          <w:p>
            <w:pPr>
              <w:spacing w:after="0"/>
            </w:pPr>
            <w:r>
              <w:rPr>
                <w:rFonts w:ascii="Times New Roman" w:hAnsi="Times New Roman"/>
                <w:sz w:val="14"/>
              </w:rPr>
              <w:t>Consecration/installation idiom; syntax/context difficult.</w:t>
            </w:r>
          </w:p>
        </w:tc>
      </w:tr>
      <w:tr>
        <w:tc>
          <w:tcPr>
            <w:tcW w:type="dxa" w:w="3561"/>
            <w:vAlign w:val="top"/>
          </w:tcPr>
          <w:p>
            <w:pPr>
              <w:spacing w:after="0"/>
            </w:pPr>
            <w:r>
              <w:rPr>
                <w:rFonts w:ascii="Times New Roman" w:hAnsi="Times New Roman"/>
                <w:sz w:val="14"/>
              </w:rPr>
              <w:t>Ex. 32:32</w:t>
            </w:r>
          </w:p>
        </w:tc>
        <w:tc>
          <w:tcPr>
            <w:tcW w:type="dxa" w:w="3561"/>
            <w:vAlign w:val="top"/>
          </w:tcPr>
          <w:p>
            <w:pPr>
              <w:spacing w:after="0"/>
            </w:pPr>
            <w:r>
              <w:rPr>
                <w:rFonts w:ascii="Times New Roman" w:hAnsi="Times New Roman"/>
                <w:sz w:val="14"/>
              </w:rPr>
              <w:t>Divine book</w:t>
            </w:r>
          </w:p>
        </w:tc>
        <w:tc>
          <w:tcPr>
            <w:tcW w:type="dxa" w:w="3561"/>
            <w:vAlign w:val="top"/>
          </w:tcPr>
          <w:p>
            <w:pPr>
              <w:spacing w:after="0"/>
            </w:pPr>
            <w:r>
              <w:rPr>
                <w:rFonts w:ascii="Times New Roman" w:hAnsi="Times New Roman"/>
                <w:sz w:val="14"/>
              </w:rPr>
              <w:t>Registration of living/belonging; compare Psa. 69:28.</w:t>
            </w:r>
          </w:p>
        </w:tc>
      </w:tr>
      <w:tr>
        <w:tc>
          <w:tcPr>
            <w:tcW w:type="dxa" w:w="3561"/>
            <w:vAlign w:val="top"/>
          </w:tcPr>
          <w:p>
            <w:pPr>
              <w:spacing w:after="0"/>
            </w:pPr>
            <w:r>
              <w:rPr>
                <w:rFonts w:ascii="Times New Roman" w:hAnsi="Times New Roman"/>
                <w:sz w:val="14"/>
              </w:rPr>
              <w:t>Ex. 32:33</w:t>
            </w:r>
          </w:p>
        </w:tc>
        <w:tc>
          <w:tcPr>
            <w:tcW w:type="dxa" w:w="3561"/>
            <w:vAlign w:val="top"/>
          </w:tcPr>
          <w:p>
            <w:pPr>
              <w:spacing w:after="0"/>
            </w:pPr>
            <w:r>
              <w:rPr>
                <w:rFonts w:ascii="Times New Roman" w:hAnsi="Times New Roman"/>
                <w:sz w:val="14"/>
              </w:rPr>
              <w:t>personal responsibility</w:t>
            </w:r>
          </w:p>
        </w:tc>
        <w:tc>
          <w:tcPr>
            <w:tcW w:type="dxa" w:w="3561"/>
            <w:vAlign w:val="top"/>
          </w:tcPr>
          <w:p>
            <w:pPr>
              <w:spacing w:after="0"/>
            </w:pPr>
            <w:r>
              <w:rPr>
                <w:rFonts w:ascii="Times New Roman" w:hAnsi="Times New Roman"/>
                <w:sz w:val="14"/>
              </w:rPr>
              <w:t>The sinner, not substitute intercessor, is blotted.</w:t>
            </w:r>
          </w:p>
        </w:tc>
      </w:tr>
      <w:tr>
        <w:tc>
          <w:tcPr>
            <w:tcW w:type="dxa" w:w="3561"/>
            <w:vAlign w:val="top"/>
          </w:tcPr>
          <w:p>
            <w:pPr>
              <w:spacing w:after="0"/>
            </w:pPr>
            <w:r>
              <w:rPr>
                <w:rFonts w:ascii="Times New Roman" w:hAnsi="Times New Roman"/>
                <w:sz w:val="14"/>
              </w:rPr>
              <w:t>Ex. 32:34</w:t>
            </w:r>
          </w:p>
        </w:tc>
        <w:tc>
          <w:tcPr>
            <w:tcW w:type="dxa" w:w="3561"/>
            <w:vAlign w:val="top"/>
          </w:tcPr>
          <w:p>
            <w:pPr>
              <w:spacing w:after="0"/>
            </w:pPr>
            <w:r>
              <w:rPr>
                <w:rFonts w:ascii="Times New Roman" w:hAnsi="Times New Roman"/>
                <w:sz w:val="14"/>
              </w:rPr>
              <w:t>Angel before Israel</w:t>
            </w:r>
          </w:p>
        </w:tc>
        <w:tc>
          <w:tcPr>
            <w:tcW w:type="dxa" w:w="3561"/>
            <w:vAlign w:val="top"/>
          </w:tcPr>
          <w:p>
            <w:pPr>
              <w:spacing w:after="0"/>
            </w:pPr>
            <w:r>
              <w:rPr>
                <w:rFonts w:ascii="Times New Roman" w:hAnsi="Times New Roman"/>
                <w:sz w:val="14"/>
              </w:rPr>
              <w:t>Continuation of mediated guidance despite judgment.</w:t>
            </w:r>
          </w:p>
        </w:tc>
      </w:tr>
    </w:tbl>
    <w:p>
      <w:pPr>
        <w:pStyle w:val="Heading1"/>
      </w:pPr>
      <w:r>
        <w:t>RESIDUAL UNCERTAINTIES</w:t>
      </w:r>
    </w:p>
    <w:p>
      <w:pPr/>
      <w:r>
        <w:rPr>
          <w:i w:val="0"/>
        </w:rPr>
        <w:t>The exact sense of cheret in verse 4 and the syntax of verse 29 remain debated. The chapter does not identify every action implied by “play,” although 1 Corinthians 10 gives inspired moral interpretation. Moses’ “book” language should not be over-systematised beyond its biblical register-of-life/belonging context.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15"/>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5" w:after="15"/>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