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33</w:t>
      </w:r>
    </w:p>
    <w:p>
      <w:pPr>
        <w:pStyle w:val="Subtitle"/>
      </w:pPr>
      <w:r>
        <w:t>PRESENCE WITHDRAWN • THE TENT OUTSIDE THE CAMP • MOSES SPEAKS “FACE TO FACE” • “SHEW ME THY GLORY” • GOODNESS, GRACE AND MERCY</w:t>
      </w:r>
    </w:p>
    <w:p>
      <w:pPr/>
      <w:r>
        <w:rPr>
          <w:i/>
        </w:rPr>
        <w:t>H. P. Mansfield Bible notes — checked and arranged in verse-by-verse Expositor style</w:t>
      </w:r>
    </w:p>
    <w:p>
      <w:pPr/>
      <w:r>
        <w:rPr>
          <w:i w:val="0"/>
        </w:rPr>
        <w:t>Source: HPB 02-Gen42-Lev11.pdf, principally Exodus 33 photographed pages 70–71</w:t>
      </w:r>
    </w:p>
    <w:p>
      <w:pPr>
        <w:pStyle w:val="Heading1"/>
      </w:pPr>
      <w:r>
        <w:t>CHAPTER OVERVIEW</w:t>
      </w:r>
    </w:p>
    <w:p>
      <w:pPr/>
      <w:r>
        <w:rPr>
          <w:i w:val="0"/>
        </w:rPr>
        <w:t>Exodus 33 records the crisis after the golden calf. Israel may still be led toward the promised land, but the threatened loss of Yahweh’s immediate presence makes clear that inheritance without fellowship is not enough.</w:t>
      </w:r>
    </w:p>
    <w:p>
      <w:pPr/>
      <w:r>
        <w:rPr>
          <w:i w:val="0"/>
        </w:rPr>
        <w:t>Moses therefore seeks more than national survival. He asks to know Yahweh’s way, insists upon Yahweh’s presence, and finally asks to see His glory. The answer begins here in goodness, grace and mercy and reaches its verbal climax in the proclamation of the Name in Exodus 34.</w:t>
      </w:r>
    </w:p>
    <w:p>
      <w:pPr>
        <w:pStyle w:val="Heading1"/>
      </w:pPr>
      <w:r>
        <w:t>THE THREATENED ABSENCE — EXODUS 33:1–6</w:t>
      </w:r>
    </w:p>
    <w:p>
      <w:pPr>
        <w:pStyle w:val="Heading2"/>
      </w:pPr>
      <w:r>
        <w:t>Exodus 33:1–3 — land promised, presence threatened</w:t>
      </w:r>
    </w:p>
    <w:p>
      <w:pPr/>
      <w:r>
        <w:rPr>
          <w:i w:val="0"/>
        </w:rPr>
        <w:t>Yahweh commands Moses to continue toward the land sworn to Abraham, Isaac and Jacob and promises angelic assistance against the Canaanite nations. Yet He says He will not go up “in the midst” of this stiff-necked people lest His holiness consume them.</w:t>
      </w:r>
    </w:p>
    <w:p>
      <w:pPr/>
      <w:r>
        <w:rPr>
          <w:i w:val="0"/>
        </w:rPr>
        <w:t>Mansfield distinguishes this angel from the Name-bearing Angel of Exodus 23:20–23 and calls him a subordinate angel. The text itself does not identify or rank the angel explicitly, so the safest statement is simply that angelic guidance is promised while Yahweh’s intimate covenant presence is threatened.</w:t>
      </w:r>
    </w:p>
    <w:p>
      <w:pPr>
        <w:pStyle w:val="Heading2"/>
      </w:pPr>
      <w:r>
        <w:t>Exodus 33:4–6 — ornaments removed in mourning</w:t>
      </w:r>
    </w:p>
    <w:p>
      <w:pPr/>
      <w:r>
        <w:rPr>
          <w:i w:val="0"/>
        </w:rPr>
        <w:t>The people mourn and remove their ornaments. Verse 6 can naturally be rendered that Israel stripped off their ornaments “from Mount Horeb onward.” The outward stripping becomes an enduring sign of humiliation after the calf episode.</w:t>
      </w:r>
    </w:p>
    <w:p>
      <w:pPr/>
      <w:r>
        <w:rPr>
          <w:i w:val="0"/>
        </w:rPr>
        <w:t>The text does not establish a universal religious prohibition on jewellery; the act belongs to this specific context of mourning and repentance.</w:t>
      </w:r>
    </w:p>
    <w:p>
      <w:pPr>
        <w:pStyle w:val="Heading1"/>
      </w:pPr>
      <w:r>
        <w:t>THE TENT OUTSIDE THE CAMP — EXODUS 33:7–11</w:t>
      </w:r>
    </w:p>
    <w:p>
      <w:pPr>
        <w:pStyle w:val="Heading2"/>
      </w:pPr>
      <w:r>
        <w:t>Exodus 33:7 — a temporary Tent of Meeting</w:t>
      </w:r>
    </w:p>
    <w:p>
      <w:pPr/>
      <w:r>
        <w:rPr>
          <w:i w:val="0"/>
        </w:rPr>
        <w:t>Moses takes “the tent” — ha’ohel — and pitches it outside the camp, far from the camp, calling it the Tent of Meeting. This is not the completed tabernacle, which has not yet been constructed; the use of ohel and the chronology point to a temporary meeting tent.</w:t>
      </w:r>
    </w:p>
    <w:p>
      <w:pPr/>
      <w:r>
        <w:rPr>
          <w:i w:val="0"/>
        </w:rPr>
        <w:t>Those genuinely seeking Yahweh must go outside the defiled camp. Hebrews 13:11–13 later uses “outside the camp” imagery Christologically, but Mansfield’s detailed 2,000-cubit/2,000-year correspondence is speculative and should not be treated as established chronology.</w:t>
      </w:r>
    </w:p>
    <w:p>
      <w:pPr>
        <w:pStyle w:val="Heading2"/>
      </w:pPr>
      <w:r>
        <w:t>Exodus 33:8–10 — cloud and worship</w:t>
      </w:r>
    </w:p>
    <w:p>
      <w:pPr/>
      <w:r>
        <w:rPr>
          <w:i w:val="0"/>
        </w:rPr>
        <w:t>When Moses goes to the tent, the people stand at their tent doors. The pillar of cloud descends and stands at the entrance while Yahweh speaks with Moses. Israel then worships from its own tent doors.</w:t>
      </w:r>
    </w:p>
    <w:p>
      <w:pPr/>
      <w:r>
        <w:rPr>
          <w:i w:val="0"/>
        </w:rPr>
        <w:t>The contrast with the calf is important: this visible manifestation is appointed by Yahweh rather than manufactured by human religious desire.</w:t>
      </w:r>
    </w:p>
    <w:p>
      <w:pPr>
        <w:pStyle w:val="Heading2"/>
      </w:pPr>
      <w:r>
        <w:t>Exodus 33:11 — “face to face”</w:t>
      </w:r>
    </w:p>
    <w:p>
      <w:pPr/>
      <w:r>
        <w:rPr>
          <w:i w:val="0"/>
        </w:rPr>
        <w:t>Yahweh speaks with Moses “face to face, as a man speaketh unto his friend.” Numbers 12:8 explains the privilege as direct/plain communication rather than dark sayings. Verse 20 of this same chapter excludes the idea that Moses literally viewed the unveiled face/essence of God.</w:t>
      </w:r>
    </w:p>
    <w:p>
      <w:pPr/>
      <w:r>
        <w:rPr>
          <w:i w:val="0"/>
        </w:rPr>
        <w:t>Joshua remains at the tent as Moses returns to the camp, continuing his development as attendant and future successor.</w:t>
      </w:r>
    </w:p>
    <w:p>
      <w:pPr>
        <w:pStyle w:val="Heading1"/>
      </w:pPr>
      <w:r>
        <w:t>MOSES PLEADS FOR THE DIVINE PRESENCE — EXODUS 33:12–17</w:t>
      </w:r>
    </w:p>
    <w:p>
      <w:pPr>
        <w:pStyle w:val="Heading2"/>
      </w:pPr>
      <w:r>
        <w:t>Exodus 33:12–13 — “shew me now thy way”</w:t>
      </w:r>
    </w:p>
    <w:p>
      <w:pPr/>
      <w:r>
        <w:rPr>
          <w:i w:val="0"/>
        </w:rPr>
        <w:t>Moses appeals to Yahweh’s statement that he is known by name and has found grace. His request to know Yahweh’s “way” is more than route guidance: “that I may know thee” asks for deeper knowledge of Divine character and purpose.</w:t>
      </w:r>
    </w:p>
    <w:p>
      <w:pPr>
        <w:pStyle w:val="Heading2"/>
      </w:pPr>
      <w:r>
        <w:t>Exodus 33:14 — “My presence shall go with thee”</w:t>
      </w:r>
    </w:p>
    <w:p>
      <w:pPr/>
      <w:r>
        <w:rPr>
          <w:i w:val="0"/>
        </w:rPr>
        <w:t>Yahweh answers, “My presence shall go with thee, and I will give thee rest.” Panim literally means face/presence. Here the sense is the personal Divine presence accompanying Moses and Israel.</w:t>
      </w:r>
    </w:p>
    <w:p>
      <w:pPr>
        <w:pStyle w:val="Heading2"/>
      </w:pPr>
      <w:r>
        <w:t>Exodus 33:15–16 — presence distinguishes the people</w:t>
      </w:r>
    </w:p>
    <w:p>
      <w:pPr/>
      <w:r>
        <w:rPr>
          <w:i w:val="0"/>
        </w:rPr>
        <w:t>Moses refuses to accept movement without Yahweh: “If thy presence go not with me, carry us not up hence.” What distinguishes Israel is not ethnicity in itself but the covenant fact that Yahweh goes with them and thereby separates them from other peoples.</w:t>
      </w:r>
    </w:p>
    <w:p>
      <w:pPr>
        <w:pStyle w:val="Heading2"/>
      </w:pPr>
      <w:r>
        <w:t>Exodus 33:17 — grace and being known by name</w:t>
      </w:r>
    </w:p>
    <w:p>
      <w:pPr/>
      <w:r>
        <w:rPr>
          <w:i w:val="0"/>
        </w:rPr>
        <w:t>Yahweh grants Moses’ request because Moses has found chen, grace/favour, and is known by name. The language marks extraordinary covenant intimacy while keeping Moses entirely dependent upon Divine favour.</w:t>
      </w:r>
    </w:p>
    <w:p>
      <w:pPr>
        <w:pStyle w:val="Heading1"/>
      </w:pPr>
      <w:r>
        <w:t>“SHEW ME THY GLORY” — EXODUS 33:18–23</w:t>
      </w:r>
    </w:p>
    <w:p>
      <w:pPr>
        <w:pStyle w:val="Heading2"/>
      </w:pPr>
      <w:r>
        <w:t>Exodus 33:18–19 — glory answered by goodness and Name</w:t>
      </w:r>
    </w:p>
    <w:p>
      <w:pPr/>
      <w:r>
        <w:rPr>
          <w:i w:val="0"/>
        </w:rPr>
        <w:t>Moses asks, “Shew me thy glory.” Yahweh replies that He will make all His goodness pass before Moses and proclaim the Name Yahweh. The chapter itself therefore links glory with goodness, Name, graciousness and mercy, preparing Exodus 34:6–7.</w:t>
      </w:r>
    </w:p>
    <w:p>
      <w:pPr/>
      <w:r>
        <w:rPr>
          <w:i w:val="0"/>
        </w:rPr>
        <w:t>Paul quotes “I will have mercy on whom I will have mercy” in Romans 9:15. Divine mercy is graciously sovereign, not a debt owed to human merit.</w:t>
      </w:r>
    </w:p>
    <w:p>
      <w:pPr>
        <w:pStyle w:val="Heading2"/>
      </w:pPr>
      <w:r>
        <w:t>Exodus 33:20 — no mortal sees the Divine face and lives</w:t>
      </w:r>
    </w:p>
    <w:p>
      <w:pPr/>
      <w:r>
        <w:rPr>
          <w:i w:val="0"/>
        </w:rPr>
        <w:t>“Thou canst not see my face: for there shall no man see me, and live.” This controls verse 11. Moses receives true Divine manifestation and direct communication, but not unrestricted sight of the Father’s essence. John 1:18 likewise states that no man has seen God in that absolute sense.</w:t>
      </w:r>
    </w:p>
    <w:p>
      <w:pPr>
        <w:pStyle w:val="Heading2"/>
      </w:pPr>
      <w:r>
        <w:t>Exodus 33:21–23 — rock, cleft and accommodated revelation</w:t>
      </w:r>
    </w:p>
    <w:p>
      <w:pPr/>
      <w:r>
        <w:rPr>
          <w:i w:val="0"/>
        </w:rPr>
        <w:t>Moses is placed upon a rock and in a cleft while Yahweh’s glory passes. He is shielded, then permitted a limited after-view described anthropomorphically as the “back parts,” not the face.</w:t>
      </w:r>
    </w:p>
    <w:p>
      <w:pPr/>
      <w:r>
        <w:rPr>
          <w:i w:val="0"/>
        </w:rPr>
        <w:t>The language deliberately accommodates revelation to mortal capacity. The most important content is not an anatomy of God but the proclamation of character that follows in Exodus 34.</w:t>
      </w:r>
    </w:p>
    <w:p>
      <w:pPr>
        <w:pStyle w:val="Heading1"/>
      </w:pPr>
      <w:r>
        <w:t>PRINCIPAL THEMES</w:t>
      </w:r>
    </w:p>
    <w:p>
      <w:pPr>
        <w:ind w:left="259" w:hanging="202"/>
      </w:pPr>
      <w:r>
        <w:rPr>
          <w:b/>
        </w:rPr>
        <w:t xml:space="preserve">• </w:t>
      </w:r>
      <w:r>
        <w:t>The promised land without Yahweh’s presence would be an impoverished inheritance.</w:t>
      </w:r>
    </w:p>
    <w:p>
      <w:pPr>
        <w:ind w:left="259" w:hanging="202"/>
      </w:pPr>
      <w:r>
        <w:rPr>
          <w:b/>
        </w:rPr>
        <w:t xml:space="preserve">• </w:t>
      </w:r>
      <w:r>
        <w:t>Repentance is expressed in mourning and the removal of ornaments after idolatry.</w:t>
      </w:r>
    </w:p>
    <w:p>
      <w:pPr>
        <w:ind w:left="259" w:hanging="202"/>
      </w:pPr>
      <w:r>
        <w:rPr>
          <w:b/>
        </w:rPr>
        <w:t xml:space="preserve">• </w:t>
      </w:r>
      <w:r>
        <w:t>The temporary Tent of Meeting stands outside a defiled camp while access remains open to genuine seekers.</w:t>
      </w:r>
    </w:p>
    <w:p>
      <w:pPr>
        <w:ind w:left="259" w:hanging="202"/>
      </w:pPr>
      <w:r>
        <w:rPr>
          <w:b/>
        </w:rPr>
        <w:t xml:space="preserve">• </w:t>
      </w:r>
      <w:r>
        <w:t>“Face to face” means exceptional direct communication, not sight of the Father’s unveiled essence.</w:t>
      </w:r>
    </w:p>
    <w:p>
      <w:pPr>
        <w:ind w:left="259" w:hanging="202"/>
      </w:pPr>
      <w:r>
        <w:rPr>
          <w:b/>
        </w:rPr>
        <w:t xml:space="preserve">• </w:t>
      </w:r>
      <w:r>
        <w:t>Moses seeks Yahweh’s way in order to know Yahweh Himself.</w:t>
      </w:r>
    </w:p>
    <w:p>
      <w:pPr>
        <w:ind w:left="259" w:hanging="202"/>
      </w:pPr>
      <w:r>
        <w:rPr>
          <w:b/>
        </w:rPr>
        <w:t xml:space="preserve">• </w:t>
      </w:r>
      <w:r>
        <w:t>Divine presence, not ethnic superiority, distinguishes the covenant people.</w:t>
      </w:r>
    </w:p>
    <w:p>
      <w:pPr>
        <w:ind w:left="259" w:hanging="202"/>
      </w:pPr>
      <w:r>
        <w:rPr>
          <w:b/>
        </w:rPr>
        <w:t xml:space="preserve">• </w:t>
      </w:r>
      <w:r>
        <w:t>God’s glory is revealed chiefly through goodness, Name, grace and mercy.</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Ex. 33:2</w:t>
            </w:r>
          </w:p>
        </w:tc>
        <w:tc>
          <w:tcPr>
            <w:tcW w:type="dxa" w:w="3561"/>
            <w:vAlign w:val="top"/>
          </w:tcPr>
          <w:p>
            <w:pPr>
              <w:spacing w:after="0"/>
            </w:pPr>
            <w:r>
              <w:rPr>
                <w:rFonts w:ascii="Times New Roman" w:hAnsi="Times New Roman"/>
                <w:sz w:val="14"/>
              </w:rPr>
              <w:t>angel sent before Israel</w:t>
            </w:r>
          </w:p>
        </w:tc>
        <w:tc>
          <w:tcPr>
            <w:tcW w:type="dxa" w:w="3561"/>
            <w:vAlign w:val="top"/>
          </w:tcPr>
          <w:p>
            <w:pPr>
              <w:spacing w:after="0"/>
            </w:pPr>
            <w:r>
              <w:rPr>
                <w:rFonts w:ascii="Times New Roman" w:hAnsi="Times New Roman"/>
                <w:sz w:val="14"/>
              </w:rPr>
              <w:t>Angel is not named or explicitly ranked; “subordinate angel” is Mansfield’s reconstruction.</w:t>
            </w:r>
          </w:p>
        </w:tc>
      </w:tr>
      <w:tr>
        <w:tc>
          <w:tcPr>
            <w:tcW w:type="dxa" w:w="3561"/>
            <w:vAlign w:val="top"/>
          </w:tcPr>
          <w:p>
            <w:pPr>
              <w:spacing w:after="0"/>
            </w:pPr>
            <w:r>
              <w:rPr>
                <w:rFonts w:ascii="Times New Roman" w:hAnsi="Times New Roman"/>
                <w:sz w:val="14"/>
              </w:rPr>
              <w:t>Ex. 33:4–6</w:t>
            </w:r>
          </w:p>
        </w:tc>
        <w:tc>
          <w:tcPr>
            <w:tcW w:type="dxa" w:w="3561"/>
            <w:vAlign w:val="top"/>
          </w:tcPr>
          <w:p>
            <w:pPr>
              <w:spacing w:after="0"/>
            </w:pPr>
            <w:r>
              <w:rPr>
                <w:rFonts w:ascii="Times New Roman" w:hAnsi="Times New Roman"/>
                <w:sz w:val="14"/>
              </w:rPr>
              <w:t>ornaments removed</w:t>
            </w:r>
          </w:p>
        </w:tc>
        <w:tc>
          <w:tcPr>
            <w:tcW w:type="dxa" w:w="3561"/>
            <w:vAlign w:val="top"/>
          </w:tcPr>
          <w:p>
            <w:pPr>
              <w:spacing w:after="0"/>
            </w:pPr>
            <w:r>
              <w:rPr>
                <w:rFonts w:ascii="Times New Roman" w:hAnsi="Times New Roman"/>
                <w:sz w:val="14"/>
              </w:rPr>
              <w:t>Specific mourning after calf; not a universal jewellery prohibition.</w:t>
            </w:r>
          </w:p>
        </w:tc>
      </w:tr>
      <w:tr>
        <w:tc>
          <w:tcPr>
            <w:tcW w:type="dxa" w:w="3561"/>
            <w:vAlign w:val="top"/>
          </w:tcPr>
          <w:p>
            <w:pPr>
              <w:spacing w:after="0"/>
            </w:pPr>
            <w:r>
              <w:rPr>
                <w:rFonts w:ascii="Times New Roman" w:hAnsi="Times New Roman"/>
                <w:sz w:val="14"/>
              </w:rPr>
              <w:t>Ex. 33:6</w:t>
            </w:r>
          </w:p>
        </w:tc>
        <w:tc>
          <w:tcPr>
            <w:tcW w:type="dxa" w:w="3561"/>
            <w:vAlign w:val="top"/>
          </w:tcPr>
          <w:p>
            <w:pPr>
              <w:spacing w:after="0"/>
            </w:pPr>
            <w:r>
              <w:rPr>
                <w:rFonts w:ascii="Times New Roman" w:hAnsi="Times New Roman"/>
                <w:sz w:val="14"/>
              </w:rPr>
              <w:t>from Mount Horeb onward</w:t>
            </w:r>
          </w:p>
        </w:tc>
        <w:tc>
          <w:tcPr>
            <w:tcW w:type="dxa" w:w="3561"/>
            <w:vAlign w:val="top"/>
          </w:tcPr>
          <w:p>
            <w:pPr>
              <w:spacing w:after="0"/>
            </w:pPr>
            <w:r>
              <w:rPr>
                <w:rFonts w:ascii="Times New Roman" w:hAnsi="Times New Roman"/>
                <w:sz w:val="14"/>
              </w:rPr>
              <w:t>Natural sense of Hebrew departure/removal expression.</w:t>
            </w:r>
          </w:p>
        </w:tc>
      </w:tr>
      <w:tr>
        <w:tc>
          <w:tcPr>
            <w:tcW w:type="dxa" w:w="3561"/>
            <w:vAlign w:val="top"/>
          </w:tcPr>
          <w:p>
            <w:pPr>
              <w:spacing w:after="0"/>
            </w:pPr>
            <w:r>
              <w:rPr>
                <w:rFonts w:ascii="Times New Roman" w:hAnsi="Times New Roman"/>
                <w:sz w:val="14"/>
              </w:rPr>
              <w:t>Ex. 33:7</w:t>
            </w:r>
          </w:p>
        </w:tc>
        <w:tc>
          <w:tcPr>
            <w:tcW w:type="dxa" w:w="3561"/>
            <w:vAlign w:val="top"/>
          </w:tcPr>
          <w:p>
            <w:pPr>
              <w:spacing w:after="0"/>
            </w:pPr>
            <w:r>
              <w:rPr>
                <w:rFonts w:ascii="Times New Roman" w:hAnsi="Times New Roman"/>
                <w:sz w:val="14"/>
              </w:rPr>
              <w:t>ha’ohel</w:t>
            </w:r>
          </w:p>
        </w:tc>
        <w:tc>
          <w:tcPr>
            <w:tcW w:type="dxa" w:w="3561"/>
            <w:vAlign w:val="top"/>
          </w:tcPr>
          <w:p>
            <w:pPr>
              <w:spacing w:after="0"/>
            </w:pPr>
            <w:r>
              <w:rPr>
                <w:rFonts w:ascii="Times New Roman" w:hAnsi="Times New Roman"/>
                <w:sz w:val="14"/>
              </w:rPr>
              <w:t>“The tent”; temporary Tent of Meeting, not yet-built tabernacle.</w:t>
            </w:r>
          </w:p>
        </w:tc>
      </w:tr>
      <w:tr>
        <w:tc>
          <w:tcPr>
            <w:tcW w:type="dxa" w:w="3561"/>
            <w:vAlign w:val="top"/>
          </w:tcPr>
          <w:p>
            <w:pPr>
              <w:spacing w:after="0"/>
            </w:pPr>
            <w:r>
              <w:rPr>
                <w:rFonts w:ascii="Times New Roman" w:hAnsi="Times New Roman"/>
                <w:sz w:val="14"/>
              </w:rPr>
              <w:t>Heb. 13:11–13</w:t>
            </w:r>
          </w:p>
        </w:tc>
        <w:tc>
          <w:tcPr>
            <w:tcW w:type="dxa" w:w="3561"/>
            <w:vAlign w:val="top"/>
          </w:tcPr>
          <w:p>
            <w:pPr>
              <w:spacing w:after="0"/>
            </w:pPr>
            <w:r>
              <w:rPr>
                <w:rFonts w:ascii="Times New Roman" w:hAnsi="Times New Roman"/>
                <w:sz w:val="14"/>
              </w:rPr>
              <w:t>outside the camp</w:t>
            </w:r>
          </w:p>
        </w:tc>
        <w:tc>
          <w:tcPr>
            <w:tcW w:type="dxa" w:w="3561"/>
            <w:vAlign w:val="top"/>
          </w:tcPr>
          <w:p>
            <w:pPr>
              <w:spacing w:after="0"/>
            </w:pPr>
            <w:r>
              <w:rPr>
                <w:rFonts w:ascii="Times New Roman" w:hAnsi="Times New Roman"/>
                <w:sz w:val="14"/>
              </w:rPr>
              <w:t>Later inspired Christological use; 2,000-cubit/year scheme remains speculative.</w:t>
            </w:r>
          </w:p>
        </w:tc>
      </w:tr>
      <w:tr>
        <w:tc>
          <w:tcPr>
            <w:tcW w:type="dxa" w:w="3561"/>
            <w:vAlign w:val="top"/>
          </w:tcPr>
          <w:p>
            <w:pPr>
              <w:spacing w:after="0"/>
            </w:pPr>
            <w:r>
              <w:rPr>
                <w:rFonts w:ascii="Times New Roman" w:hAnsi="Times New Roman"/>
                <w:sz w:val="14"/>
              </w:rPr>
              <w:t>Ex. 33:11</w:t>
            </w:r>
          </w:p>
        </w:tc>
        <w:tc>
          <w:tcPr>
            <w:tcW w:type="dxa" w:w="3561"/>
            <w:vAlign w:val="top"/>
          </w:tcPr>
          <w:p>
            <w:pPr>
              <w:spacing w:after="0"/>
            </w:pPr>
            <w:r>
              <w:rPr>
                <w:rFonts w:ascii="Times New Roman" w:hAnsi="Times New Roman"/>
                <w:sz w:val="14"/>
              </w:rPr>
              <w:t>face to face</w:t>
            </w:r>
          </w:p>
        </w:tc>
        <w:tc>
          <w:tcPr>
            <w:tcW w:type="dxa" w:w="3561"/>
            <w:vAlign w:val="top"/>
          </w:tcPr>
          <w:p>
            <w:pPr>
              <w:spacing w:after="0"/>
            </w:pPr>
            <w:r>
              <w:rPr>
                <w:rFonts w:ascii="Times New Roman" w:hAnsi="Times New Roman"/>
                <w:sz w:val="14"/>
              </w:rPr>
              <w:t>Direct/plain communication; compare Num. 12:8.</w:t>
            </w:r>
          </w:p>
        </w:tc>
      </w:tr>
      <w:tr>
        <w:tc>
          <w:tcPr>
            <w:tcW w:type="dxa" w:w="3561"/>
            <w:vAlign w:val="top"/>
          </w:tcPr>
          <w:p>
            <w:pPr>
              <w:spacing w:after="0"/>
            </w:pPr>
            <w:r>
              <w:rPr>
                <w:rFonts w:ascii="Times New Roman" w:hAnsi="Times New Roman"/>
                <w:sz w:val="14"/>
              </w:rPr>
              <w:t>Ex. 33:11 vs 33:20</w:t>
            </w:r>
          </w:p>
        </w:tc>
        <w:tc>
          <w:tcPr>
            <w:tcW w:type="dxa" w:w="3561"/>
            <w:vAlign w:val="top"/>
          </w:tcPr>
          <w:p>
            <w:pPr>
              <w:spacing w:after="0"/>
            </w:pPr>
            <w:r>
              <w:rPr>
                <w:rFonts w:ascii="Times New Roman" w:hAnsi="Times New Roman"/>
                <w:sz w:val="14"/>
              </w:rPr>
              <w:t>no contradiction</w:t>
            </w:r>
          </w:p>
        </w:tc>
        <w:tc>
          <w:tcPr>
            <w:tcW w:type="dxa" w:w="3561"/>
            <w:vAlign w:val="top"/>
          </w:tcPr>
          <w:p>
            <w:pPr>
              <w:spacing w:after="0"/>
            </w:pPr>
            <w:r>
              <w:rPr>
                <w:rFonts w:ascii="Times New Roman" w:hAnsi="Times New Roman"/>
                <w:sz w:val="14"/>
              </w:rPr>
              <w:t>Manifested/direct communication does not equal seeing Divine essence.</w:t>
            </w:r>
          </w:p>
        </w:tc>
      </w:tr>
      <w:tr>
        <w:tc>
          <w:tcPr>
            <w:tcW w:type="dxa" w:w="3561"/>
            <w:vAlign w:val="top"/>
          </w:tcPr>
          <w:p>
            <w:pPr>
              <w:spacing w:after="0"/>
            </w:pPr>
            <w:r>
              <w:rPr>
                <w:rFonts w:ascii="Times New Roman" w:hAnsi="Times New Roman"/>
                <w:sz w:val="14"/>
              </w:rPr>
              <w:t>Ex. 33:14</w:t>
            </w:r>
          </w:p>
        </w:tc>
        <w:tc>
          <w:tcPr>
            <w:tcW w:type="dxa" w:w="3561"/>
            <w:vAlign w:val="top"/>
          </w:tcPr>
          <w:p>
            <w:pPr>
              <w:spacing w:after="0"/>
            </w:pPr>
            <w:r>
              <w:rPr>
                <w:rFonts w:ascii="Times New Roman" w:hAnsi="Times New Roman"/>
                <w:sz w:val="14"/>
              </w:rPr>
              <w:t>panim</w:t>
            </w:r>
          </w:p>
        </w:tc>
        <w:tc>
          <w:tcPr>
            <w:tcW w:type="dxa" w:w="3561"/>
            <w:vAlign w:val="top"/>
          </w:tcPr>
          <w:p>
            <w:pPr>
              <w:spacing w:after="0"/>
            </w:pPr>
            <w:r>
              <w:rPr>
                <w:rFonts w:ascii="Times New Roman" w:hAnsi="Times New Roman"/>
                <w:sz w:val="14"/>
              </w:rPr>
              <w:t>Face/presence; Divine presence accompanying Moses.</w:t>
            </w:r>
          </w:p>
        </w:tc>
      </w:tr>
      <w:tr>
        <w:tc>
          <w:tcPr>
            <w:tcW w:type="dxa" w:w="3561"/>
            <w:vAlign w:val="top"/>
          </w:tcPr>
          <w:p>
            <w:pPr>
              <w:spacing w:after="0"/>
            </w:pPr>
            <w:r>
              <w:rPr>
                <w:rFonts w:ascii="Times New Roman" w:hAnsi="Times New Roman"/>
                <w:sz w:val="14"/>
              </w:rPr>
              <w:t>Ex. 33:17</w:t>
            </w:r>
          </w:p>
        </w:tc>
        <w:tc>
          <w:tcPr>
            <w:tcW w:type="dxa" w:w="3561"/>
            <w:vAlign w:val="top"/>
          </w:tcPr>
          <w:p>
            <w:pPr>
              <w:spacing w:after="0"/>
            </w:pPr>
            <w:r>
              <w:rPr>
                <w:rFonts w:ascii="Times New Roman" w:hAnsi="Times New Roman"/>
                <w:sz w:val="14"/>
              </w:rPr>
              <w:t>chen</w:t>
            </w:r>
          </w:p>
        </w:tc>
        <w:tc>
          <w:tcPr>
            <w:tcW w:type="dxa" w:w="3561"/>
            <w:vAlign w:val="top"/>
          </w:tcPr>
          <w:p>
            <w:pPr>
              <w:spacing w:after="0"/>
            </w:pPr>
            <w:r>
              <w:rPr>
                <w:rFonts w:ascii="Times New Roman" w:hAnsi="Times New Roman"/>
                <w:sz w:val="14"/>
              </w:rPr>
              <w:t>Grace/favour.</w:t>
            </w:r>
          </w:p>
        </w:tc>
      </w:tr>
      <w:tr>
        <w:tc>
          <w:tcPr>
            <w:tcW w:type="dxa" w:w="3561"/>
            <w:vAlign w:val="top"/>
          </w:tcPr>
          <w:p>
            <w:pPr>
              <w:spacing w:after="0"/>
            </w:pPr>
            <w:r>
              <w:rPr>
                <w:rFonts w:ascii="Times New Roman" w:hAnsi="Times New Roman"/>
                <w:sz w:val="14"/>
              </w:rPr>
              <w:t>Ex. 33:18–19</w:t>
            </w:r>
          </w:p>
        </w:tc>
        <w:tc>
          <w:tcPr>
            <w:tcW w:type="dxa" w:w="3561"/>
            <w:vAlign w:val="top"/>
          </w:tcPr>
          <w:p>
            <w:pPr>
              <w:spacing w:after="0"/>
            </w:pPr>
            <w:r>
              <w:rPr>
                <w:rFonts w:ascii="Times New Roman" w:hAnsi="Times New Roman"/>
                <w:sz w:val="14"/>
              </w:rPr>
              <w:t>glory → goodness/Name</w:t>
            </w:r>
          </w:p>
        </w:tc>
        <w:tc>
          <w:tcPr>
            <w:tcW w:type="dxa" w:w="3561"/>
            <w:vAlign w:val="top"/>
          </w:tcPr>
          <w:p>
            <w:pPr>
              <w:spacing w:after="0"/>
            </w:pPr>
            <w:r>
              <w:rPr>
                <w:rFonts w:ascii="Times New Roman" w:hAnsi="Times New Roman"/>
                <w:sz w:val="14"/>
              </w:rPr>
              <w:t>Chapter itself interprets requested glory in moral/covenant terms.</w:t>
            </w:r>
          </w:p>
        </w:tc>
      </w:tr>
      <w:tr>
        <w:tc>
          <w:tcPr>
            <w:tcW w:type="dxa" w:w="3561"/>
            <w:vAlign w:val="top"/>
          </w:tcPr>
          <w:p>
            <w:pPr>
              <w:spacing w:after="0"/>
            </w:pPr>
            <w:r>
              <w:rPr>
                <w:rFonts w:ascii="Times New Roman" w:hAnsi="Times New Roman"/>
                <w:sz w:val="14"/>
              </w:rPr>
              <w:t>Rom. 9:15</w:t>
            </w:r>
          </w:p>
        </w:tc>
        <w:tc>
          <w:tcPr>
            <w:tcW w:type="dxa" w:w="3561"/>
            <w:vAlign w:val="top"/>
          </w:tcPr>
          <w:p>
            <w:pPr>
              <w:spacing w:after="0"/>
            </w:pPr>
            <w:r>
              <w:rPr>
                <w:rFonts w:ascii="Times New Roman" w:hAnsi="Times New Roman"/>
                <w:sz w:val="14"/>
              </w:rPr>
              <w:t>mercy quotation</w:t>
            </w:r>
          </w:p>
        </w:tc>
        <w:tc>
          <w:tcPr>
            <w:tcW w:type="dxa" w:w="3561"/>
            <w:vAlign w:val="top"/>
          </w:tcPr>
          <w:p>
            <w:pPr>
              <w:spacing w:after="0"/>
            </w:pPr>
            <w:r>
              <w:rPr>
                <w:rFonts w:ascii="Times New Roman" w:hAnsi="Times New Roman"/>
                <w:sz w:val="14"/>
              </w:rPr>
              <w:t>Paul explicitly quotes Ex. 33:19.</w:t>
            </w:r>
          </w:p>
        </w:tc>
      </w:tr>
      <w:tr>
        <w:tc>
          <w:tcPr>
            <w:tcW w:type="dxa" w:w="3561"/>
            <w:vAlign w:val="top"/>
          </w:tcPr>
          <w:p>
            <w:pPr>
              <w:spacing w:after="0"/>
            </w:pPr>
            <w:r>
              <w:rPr>
                <w:rFonts w:ascii="Times New Roman" w:hAnsi="Times New Roman"/>
                <w:sz w:val="14"/>
              </w:rPr>
              <w:t>Ex. 33:20</w:t>
            </w:r>
          </w:p>
        </w:tc>
        <w:tc>
          <w:tcPr>
            <w:tcW w:type="dxa" w:w="3561"/>
            <w:vAlign w:val="top"/>
          </w:tcPr>
          <w:p>
            <w:pPr>
              <w:spacing w:after="0"/>
            </w:pPr>
            <w:r>
              <w:rPr>
                <w:rFonts w:ascii="Times New Roman" w:hAnsi="Times New Roman"/>
                <w:sz w:val="14"/>
              </w:rPr>
              <w:t>no man see face and live</w:t>
            </w:r>
          </w:p>
        </w:tc>
        <w:tc>
          <w:tcPr>
            <w:tcW w:type="dxa" w:w="3561"/>
            <w:vAlign w:val="top"/>
          </w:tcPr>
          <w:p>
            <w:pPr>
              <w:spacing w:after="0"/>
            </w:pPr>
            <w:r>
              <w:rPr>
                <w:rFonts w:ascii="Times New Roman" w:hAnsi="Times New Roman"/>
                <w:sz w:val="14"/>
              </w:rPr>
              <w:t>Controls literalistic interpretation of v.11.</w:t>
            </w:r>
          </w:p>
        </w:tc>
      </w:tr>
      <w:tr>
        <w:tc>
          <w:tcPr>
            <w:tcW w:type="dxa" w:w="3561"/>
            <w:vAlign w:val="top"/>
          </w:tcPr>
          <w:p>
            <w:pPr>
              <w:spacing w:after="0"/>
            </w:pPr>
            <w:r>
              <w:rPr>
                <w:rFonts w:ascii="Times New Roman" w:hAnsi="Times New Roman"/>
                <w:sz w:val="14"/>
              </w:rPr>
              <w:t>John 1:18</w:t>
            </w:r>
          </w:p>
        </w:tc>
        <w:tc>
          <w:tcPr>
            <w:tcW w:type="dxa" w:w="3561"/>
            <w:vAlign w:val="top"/>
          </w:tcPr>
          <w:p>
            <w:pPr>
              <w:spacing w:after="0"/>
            </w:pPr>
            <w:r>
              <w:rPr>
                <w:rFonts w:ascii="Times New Roman" w:hAnsi="Times New Roman"/>
                <w:sz w:val="14"/>
              </w:rPr>
              <w:t>no man hath seen God</w:t>
            </w:r>
          </w:p>
        </w:tc>
        <w:tc>
          <w:tcPr>
            <w:tcW w:type="dxa" w:w="3561"/>
            <w:vAlign w:val="top"/>
          </w:tcPr>
          <w:p>
            <w:pPr>
              <w:spacing w:after="0"/>
            </w:pPr>
            <w:r>
              <w:rPr>
                <w:rFonts w:ascii="Times New Roman" w:hAnsi="Times New Roman"/>
                <w:sz w:val="14"/>
              </w:rPr>
              <w:t>NT parallel for unseen Father.</w:t>
            </w:r>
          </w:p>
        </w:tc>
      </w:tr>
      <w:tr>
        <w:tc>
          <w:tcPr>
            <w:tcW w:type="dxa" w:w="3561"/>
            <w:vAlign w:val="top"/>
          </w:tcPr>
          <w:p>
            <w:pPr>
              <w:spacing w:after="0"/>
            </w:pPr>
            <w:r>
              <w:rPr>
                <w:rFonts w:ascii="Times New Roman" w:hAnsi="Times New Roman"/>
                <w:sz w:val="14"/>
              </w:rPr>
              <w:t>Ex. 33:21–23</w:t>
            </w:r>
          </w:p>
        </w:tc>
        <w:tc>
          <w:tcPr>
            <w:tcW w:type="dxa" w:w="3561"/>
            <w:vAlign w:val="top"/>
          </w:tcPr>
          <w:p>
            <w:pPr>
              <w:spacing w:after="0"/>
            </w:pPr>
            <w:r>
              <w:rPr>
                <w:rFonts w:ascii="Times New Roman" w:hAnsi="Times New Roman"/>
                <w:sz w:val="14"/>
              </w:rPr>
              <w:t>back parts</w:t>
            </w:r>
          </w:p>
        </w:tc>
        <w:tc>
          <w:tcPr>
            <w:tcW w:type="dxa" w:w="3561"/>
            <w:vAlign w:val="top"/>
          </w:tcPr>
          <w:p>
            <w:pPr>
              <w:spacing w:after="0"/>
            </w:pPr>
            <w:r>
              <w:rPr>
                <w:rFonts w:ascii="Times New Roman" w:hAnsi="Times New Roman"/>
                <w:sz w:val="14"/>
              </w:rPr>
              <w:t>Anthropomorphic/accommodated description of limited manifestation.</w:t>
            </w:r>
          </w:p>
        </w:tc>
      </w:tr>
    </w:tbl>
    <w:p>
      <w:pPr>
        <w:pStyle w:val="Heading1"/>
      </w:pPr>
      <w:r>
        <w:t>RESIDUAL UNCERTAINTIES</w:t>
      </w:r>
    </w:p>
    <w:p>
      <w:pPr/>
      <w:r>
        <w:rPr>
          <w:i w:val="0"/>
        </w:rPr>
        <w:t>The identity/rank of the angel in verse 2 is not specified. The precise form of the temporary tent and the visible manifestation experienced by Moses are not described in enough detail to reconstruct physically. Mansfield’s long dispensational “outside the camp” chronology remains typological rather than a demonstrable lexical or chronological reading.</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33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