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34</w:t>
      </w:r>
    </w:p>
    <w:p>
      <w:pPr>
        <w:pStyle w:val="Subtitle"/>
      </w:pPr>
      <w:r>
        <w:t>COVENANT RENEWED • THE NAME PROCLAIMED • MERCIFUL AND GRACIOUS • JEALOUS FOR EXCLUSIVE WORSHIP • FEASTS RESTORED • MOSES’ FACE SHINES</w:t>
      </w:r>
    </w:p>
    <w:p>
      <w:pPr/>
      <w:r>
        <w:rPr>
          <w:i/>
        </w:rPr>
        <w:t>H. P. Mansfield Bible notes — checked and arranged in verse-by-verse Expositor style</w:t>
      </w:r>
    </w:p>
    <w:p>
      <w:pPr/>
      <w:r>
        <w:rPr>
          <w:i w:val="0"/>
        </w:rPr>
        <w:t>Source: HPB 02-Gen42-Lev11.pdf, principally Exodus 34 photographed pages 72–73</w:t>
      </w:r>
    </w:p>
    <w:p>
      <w:pPr>
        <w:pStyle w:val="Heading1"/>
      </w:pPr>
      <w:r>
        <w:t>CHAPTER OVERVIEW</w:t>
      </w:r>
    </w:p>
    <w:p>
      <w:pPr/>
      <w:r>
        <w:rPr>
          <w:i w:val="0"/>
        </w:rPr>
        <w:t>Exodus 34 renews covenant testimony after the golden calf. New tablets replace those broken below Sinai, but the heart of the chapter is not stone: Yahweh answers Moses’ request for glory by proclaiming His Name and character.</w:t>
      </w:r>
    </w:p>
    <w:p>
      <w:pPr/>
      <w:r>
        <w:rPr>
          <w:i w:val="0"/>
        </w:rPr>
        <w:t>Mercy and righteousness are held together. Yahweh is compassionate, gracious, slow to anger and abundant in steadfast love and faithfulness, yet He does not turn guilt into innocence. Renewed covenant therefore leads directly to exclusive worship, restored feasts and transformed fellowship.</w:t>
      </w:r>
    </w:p>
    <w:p>
      <w:pPr>
        <w:pStyle w:val="Heading1"/>
      </w:pPr>
      <w:r>
        <w:t>NEW TABLETS AND THE NAME — EXODUS 34:1–9</w:t>
      </w:r>
    </w:p>
    <w:p>
      <w:pPr>
        <w:pStyle w:val="Heading2"/>
      </w:pPr>
      <w:r>
        <w:t>Exodus 34:1–4 — tablets “like unto the first”</w:t>
      </w:r>
    </w:p>
    <w:p>
      <w:pPr/>
      <w:r>
        <w:rPr>
          <w:i w:val="0"/>
        </w:rPr>
        <w:t>Moses must hew two new stone tablets like the first; Yahweh will write upon them the words previously broken. Human labour prepares the tablets, but Divine authority supplies the covenant writing.</w:t>
      </w:r>
    </w:p>
    <w:p>
      <w:pPr/>
      <w:r>
        <w:rPr>
          <w:i w:val="0"/>
        </w:rPr>
        <w:t>The mountain is again strictly separated: Moses ascends alone and neither person nor animal is to intrude upon the appointed manifestation.</w:t>
      </w:r>
    </w:p>
    <w:p>
      <w:pPr>
        <w:pStyle w:val="Heading2"/>
      </w:pPr>
      <w:r>
        <w:t>Exodus 34:5 — Yahweh proclaims the Name</w:t>
      </w:r>
    </w:p>
    <w:p>
      <w:pPr/>
      <w:r>
        <w:rPr>
          <w:i w:val="0"/>
        </w:rPr>
        <w:t>Yahweh descends in the cloud, stands with Moses and proclaims the Name Yahweh. This is the direct answer to Exodus 33:18–19: the requested glory is disclosed primarily through the spoken revelation of Divine character.</w:t>
      </w:r>
    </w:p>
    <w:p>
      <w:pPr>
        <w:pStyle w:val="Heading2"/>
      </w:pPr>
      <w:r>
        <w:t>Exodus 34:6–7 — mercy, grace, patience, steadfast love and truth</w:t>
      </w:r>
    </w:p>
    <w:p>
      <w:pPr/>
      <w:r>
        <w:rPr>
          <w:i w:val="0"/>
        </w:rPr>
        <w:t>“Yahweh, Yahweh El, merciful and gracious, longsuffering, and abundant in goodness and truth.” Rachum is compassionate/merciful; channun gracious; ’erekh appayim literally long of nostrils, hence slow to anger; rab-chesed ve’emeth abundant in steadfast love/faithfulness and truth.</w:t>
      </w:r>
    </w:p>
    <w:p>
      <w:pPr/>
      <w:r>
        <w:rPr>
          <w:i w:val="0"/>
        </w:rPr>
        <w:t>Nose’ ‘avon va-fesha‘ ve-chatta’ah means bearing/forgiving iniquity, transgression and sin. Yet “by no means clearing” expresses that forgiveness does not abolish righteousness or declare persistent rebellion harmless.</w:t>
      </w:r>
    </w:p>
    <w:p>
      <w:pPr/>
      <w:r>
        <w:rPr>
          <w:i w:val="0"/>
        </w:rPr>
        <w:t>The clause about visiting iniquity upon later generations must be read with the continuing covenant context and passages such as Deuteronomy 24:16 and Ezekiel 18:20. God does not condemn morally innocent children merely for a parent’s guilt, though consequences and repeated family rebellion can extend across generations.</w:t>
      </w:r>
    </w:p>
    <w:p>
      <w:pPr>
        <w:pStyle w:val="Heading2"/>
      </w:pPr>
      <w:r>
        <w:t>Exodus 34:8–9 — fuller revelation produces worship and intercession</w:t>
      </w:r>
    </w:p>
    <w:p>
      <w:pPr/>
      <w:r>
        <w:rPr>
          <w:i w:val="0"/>
        </w:rPr>
        <w:t>Moses immediately bows, worships and pleads for Yahweh to go among a stiff-necked people, pardon iniquity and sin, and take Israel for His inheritance. Knowledge of the Name produces humility and intercession rather than detached speculation.</w:t>
      </w:r>
    </w:p>
    <w:p>
      <w:pPr>
        <w:pStyle w:val="Heading1"/>
      </w:pPr>
      <w:r>
        <w:t>COVENANT RENEWAL AND EXCLUSIVE WORSHIP — EXODUS 34:10–17</w:t>
      </w:r>
    </w:p>
    <w:p>
      <w:pPr>
        <w:pStyle w:val="Heading2"/>
      </w:pPr>
      <w:r>
        <w:t>Exodus 34:10 — “Behold, I make a covenant”</w:t>
      </w:r>
    </w:p>
    <w:p>
      <w:pPr/>
      <w:r>
        <w:rPr>
          <w:i w:val="0"/>
        </w:rPr>
        <w:t>Yahweh renews covenant relationship and promises marvels before Israel. The renewal is grace after real apostasy, not a declaration that the calf episode did not matter.</w:t>
      </w:r>
    </w:p>
    <w:p>
      <w:pPr>
        <w:pStyle w:val="Heading2"/>
      </w:pPr>
      <w:r>
        <w:t>Exodus 34:11–13 — destroy Canaanite worship</w:t>
      </w:r>
    </w:p>
    <w:p>
      <w:pPr/>
      <w:r>
        <w:rPr>
          <w:i w:val="0"/>
        </w:rPr>
        <w:t>Israel must not covenant with the land’s inhabitants and must tear down their altars, matstsevoth (standing pillars) and Asherim. The KJV “groves” can mislead: Asherah commonly refers to a cultic object/pole associated with the goddess Asherah, not simply a grove of ordinary trees.</w:t>
      </w:r>
    </w:p>
    <w:p>
      <w:pPr>
        <w:pStyle w:val="Heading2"/>
      </w:pPr>
      <w:r>
        <w:t>Exodus 34:14 — Yahweh is qanna, jealous</w:t>
      </w:r>
    </w:p>
    <w:p>
      <w:pPr/>
      <w:r>
        <w:rPr>
          <w:i w:val="0"/>
        </w:rPr>
        <w:t>“Yahweh, whose name is Jealous, is a jealous God.” Qanna denotes zealous jealousy for exclusive covenant loyalty. This is not human insecurity but the rightful refusal of the Creator and Redeemer to share Israel’s worship with idols.</w:t>
      </w:r>
    </w:p>
    <w:p>
      <w:pPr>
        <w:pStyle w:val="Heading2"/>
      </w:pPr>
      <w:r>
        <w:t>Exodus 34:15–17 — social compromise becomes religious compromise</w:t>
      </w:r>
    </w:p>
    <w:p>
      <w:pPr/>
      <w:r>
        <w:rPr>
          <w:i w:val="0"/>
        </w:rPr>
        <w:t>Covenant meals and intermarriage with idolatrous worshippers can draw Israel into false worship. The warning concerns religious assimilation, not a doctrine of ethnic superiority. Molten gods are explicitly forbidden.</w:t>
      </w:r>
    </w:p>
    <w:p>
      <w:pPr>
        <w:pStyle w:val="Heading1"/>
      </w:pPr>
      <w:r>
        <w:t>FEASTS, FIRSTBORN AND SABBATH RESTORED — EXODUS 34:18–26</w:t>
      </w:r>
    </w:p>
    <w:p>
      <w:pPr>
        <w:pStyle w:val="Heading2"/>
      </w:pPr>
      <w:r>
        <w:t>Exodus 34:18–20 — Unleavened Bread and firstborn</w:t>
      </w:r>
    </w:p>
    <w:p>
      <w:pPr/>
      <w:r>
        <w:rPr>
          <w:i w:val="0"/>
        </w:rPr>
        <w:t>Unleavened Bread in Abib memorialises the Exodus. Every firstborn male belongs to Yahweh; the firstborn donkey is redeemed with a lamb or its neck broken, and firstborn sons are redeemed. “None shall appear before me empty” joins worship with grateful offering.</w:t>
      </w:r>
    </w:p>
    <w:p>
      <w:pPr>
        <w:pStyle w:val="Heading2"/>
      </w:pPr>
      <w:r>
        <w:t>Exodus 34:21 — rest in ploughing and harvest</w:t>
      </w:r>
    </w:p>
    <w:p>
      <w:pPr/>
      <w:r>
        <w:rPr>
          <w:i w:val="0"/>
        </w:rPr>
        <w:t>The KJV “earing time” means ploughing/tilling, not hearing. Even at the most economically urgent agricultural seasons, Israel must rest on the seventh day. Trust is tested when obedience appears costly.</w:t>
      </w:r>
    </w:p>
    <w:p>
      <w:pPr>
        <w:pStyle w:val="Heading2"/>
      </w:pPr>
      <w:r>
        <w:t>Exodus 34:22–24 — annual feasts and providential protection</w:t>
      </w:r>
    </w:p>
    <w:p>
      <w:pPr/>
      <w:r>
        <w:rPr>
          <w:i w:val="0"/>
        </w:rPr>
        <w:t>Weeks/firstfruits and Ingathering are restored with the three annual appearances before Yahweh. Yahweh promises that while Israel obeys this worship requirement He will protect their land from opportunistic seizure.</w:t>
      </w:r>
    </w:p>
    <w:p>
      <w:pPr>
        <w:pStyle w:val="Heading2"/>
      </w:pPr>
      <w:r>
        <w:t>Exodus 34:25–26 — sacrificial distinctions and kid in milk</w:t>
      </w:r>
    </w:p>
    <w:p>
      <w:pPr/>
      <w:r>
        <w:rPr>
          <w:i w:val="0"/>
        </w:rPr>
        <w:t>The Passover blood is not offered with leaven, and the sacrifice is not kept overnight. Firstfruits belong to Yahweh. The kid-in-mother’s-milk prohibition is repeated, but Scripture still does not explain its exact rationale; a pagan fertility-rite theory remains possible, not certain.</w:t>
      </w:r>
    </w:p>
    <w:p>
      <w:pPr>
        <w:pStyle w:val="Heading1"/>
      </w:pPr>
      <w:r>
        <w:t>THE TABLETS AND THE SHINING FACE — EXODUS 34:27–35</w:t>
      </w:r>
    </w:p>
    <w:p>
      <w:pPr>
        <w:pStyle w:val="Heading2"/>
      </w:pPr>
      <w:r>
        <w:t>Exodus 34:27–28 — forty days and the Ten Words</w:t>
      </w:r>
    </w:p>
    <w:p>
      <w:pPr/>
      <w:r>
        <w:rPr>
          <w:i w:val="0"/>
        </w:rPr>
        <w:t>Moses remains forty days and nights without bread or water, sustained by God, while covenant words are recorded. Verse 28 identifies the “ten words”/Ten Commandments as the words written on the tablets. Deuteronomy 10:1–4 confirms that Yahweh wrote on the second tablets the same words as on the first.</w:t>
      </w:r>
    </w:p>
    <w:p>
      <w:pPr>
        <w:pStyle w:val="Heading2"/>
      </w:pPr>
      <w:r>
        <w:t>Exodus 34:29–30 — qaran: Moses’ face shines</w:t>
      </w:r>
    </w:p>
    <w:p>
      <w:pPr/>
      <w:r>
        <w:rPr>
          <w:i w:val="0"/>
        </w:rPr>
        <w:t>The skin of Moses’ face qaran because he had spoken with Yahweh. Qaran is related to “horn/ray” imagery and here means emitted rays/shone. The Latin Vulgate’s horn-related rendering contributed to later artistic depictions of Moses with literal horns, but the context clearly describes radiance, not anatomical horns.</w:t>
      </w:r>
    </w:p>
    <w:p>
      <w:pPr>
        <w:pStyle w:val="Heading2"/>
      </w:pPr>
      <w:r>
        <w:t>Exodus 34:31–35 — veil and 2 Corinthians 3</w:t>
      </w:r>
    </w:p>
    <w:p>
      <w:pPr/>
      <w:r>
        <w:rPr>
          <w:i w:val="0"/>
        </w:rPr>
        <w:t>Moses communicates Yahweh’s commands, then places a masveh, veil, over his face. When he goes before Yahweh he removes it; after speaking to Israel he replaces it.</w:t>
      </w:r>
    </w:p>
    <w:p>
      <w:pPr/>
      <w:r>
        <w:rPr>
          <w:i w:val="0"/>
        </w:rPr>
        <w:t>Second Corinthians 3:7–18 explicitly interprets the episode: Moses’ fading glory and veil become part of Paul’s contrast between the old covenant and the surpassing, unveiled transformation associated with Christ. The apostolic interpretation should govern later typology rather than speculative symbolism.</w:t>
      </w:r>
    </w:p>
    <w:p>
      <w:pPr>
        <w:pStyle w:val="Heading1"/>
      </w:pPr>
      <w:r>
        <w:t>PRINCIPAL THEMES</w:t>
      </w:r>
    </w:p>
    <w:p>
      <w:pPr>
        <w:ind w:left="259" w:hanging="202"/>
      </w:pPr>
      <w:r>
        <w:rPr>
          <w:b/>
        </w:rPr>
        <w:t xml:space="preserve">• </w:t>
      </w:r>
      <w:r>
        <w:t>The renewed tablets testify that covenant mercy does not erase covenant authority.</w:t>
      </w:r>
    </w:p>
    <w:p>
      <w:pPr>
        <w:ind w:left="259" w:hanging="202"/>
      </w:pPr>
      <w:r>
        <w:rPr>
          <w:b/>
        </w:rPr>
        <w:t xml:space="preserve">• </w:t>
      </w:r>
      <w:r>
        <w:t>Yahweh’s glory is revealed chiefly in His proclaimed moral character.</w:t>
      </w:r>
    </w:p>
    <w:p>
      <w:pPr>
        <w:ind w:left="259" w:hanging="202"/>
      </w:pPr>
      <w:r>
        <w:rPr>
          <w:b/>
        </w:rPr>
        <w:t xml:space="preserve">• </w:t>
      </w:r>
      <w:r>
        <w:t>Mercy, grace and patience coexist with uncompromised righteousness.</w:t>
      </w:r>
    </w:p>
    <w:p>
      <w:pPr>
        <w:ind w:left="259" w:hanging="202"/>
      </w:pPr>
      <w:r>
        <w:rPr>
          <w:b/>
        </w:rPr>
        <w:t xml:space="preserve">• </w:t>
      </w:r>
      <w:r>
        <w:t>Asherah in this context is a cultic object, not simply a grove of trees.</w:t>
      </w:r>
    </w:p>
    <w:p>
      <w:pPr>
        <w:ind w:left="259" w:hanging="202"/>
      </w:pPr>
      <w:r>
        <w:rPr>
          <w:b/>
        </w:rPr>
        <w:t xml:space="preserve">• </w:t>
      </w:r>
      <w:r>
        <w:t>Divine jealousy is covenant zeal for exclusive worship.</w:t>
      </w:r>
    </w:p>
    <w:p>
      <w:pPr>
        <w:ind w:left="259" w:hanging="202"/>
      </w:pPr>
      <w:r>
        <w:rPr>
          <w:b/>
        </w:rPr>
        <w:t xml:space="preserve">• </w:t>
      </w:r>
      <w:r>
        <w:t>Sabbath trust applies even during ploughing and harvest pressure.</w:t>
      </w:r>
    </w:p>
    <w:p>
      <w:pPr>
        <w:ind w:left="259" w:hanging="202"/>
      </w:pPr>
      <w:r>
        <w:rPr>
          <w:b/>
        </w:rPr>
        <w:t xml:space="preserve">• </w:t>
      </w:r>
      <w:r>
        <w:t>Moses’ shining face is radiance from communion, not literal horns.</w:t>
      </w:r>
    </w:p>
    <w:p>
      <w:pPr>
        <w:ind w:left="259" w:hanging="202"/>
      </w:pPr>
      <w:r>
        <w:rPr>
          <w:b/>
        </w:rPr>
        <w:t xml:space="preserve">• </w:t>
      </w:r>
      <w:r>
        <w:t>Second Corinthians 3 provides the inspired interpretation of Moses’ veil and reflected glory.</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Ex. 34:1</w:t>
            </w:r>
          </w:p>
        </w:tc>
        <w:tc>
          <w:tcPr>
            <w:tcW w:type="dxa" w:w="3561"/>
            <w:vAlign w:val="top"/>
          </w:tcPr>
          <w:p>
            <w:pPr>
              <w:spacing w:after="0"/>
            </w:pPr>
            <w:r>
              <w:rPr>
                <w:rFonts w:ascii="Times New Roman" w:hAnsi="Times New Roman"/>
                <w:sz w:val="14"/>
              </w:rPr>
              <w:t>second tablets</w:t>
            </w:r>
          </w:p>
        </w:tc>
        <w:tc>
          <w:tcPr>
            <w:tcW w:type="dxa" w:w="3561"/>
            <w:vAlign w:val="top"/>
          </w:tcPr>
          <w:p>
            <w:pPr>
              <w:spacing w:after="0"/>
            </w:pPr>
            <w:r>
              <w:rPr>
                <w:rFonts w:ascii="Times New Roman" w:hAnsi="Times New Roman"/>
                <w:sz w:val="14"/>
              </w:rPr>
              <w:t>Moses hews; Yahweh writes the covenant words.</w:t>
            </w:r>
          </w:p>
        </w:tc>
      </w:tr>
      <w:tr>
        <w:tc>
          <w:tcPr>
            <w:tcW w:type="dxa" w:w="3561"/>
            <w:vAlign w:val="top"/>
          </w:tcPr>
          <w:p>
            <w:pPr>
              <w:spacing w:after="0"/>
            </w:pPr>
            <w:r>
              <w:rPr>
                <w:rFonts w:ascii="Times New Roman" w:hAnsi="Times New Roman"/>
                <w:sz w:val="14"/>
              </w:rPr>
              <w:t>Ex. 34:6</w:t>
            </w:r>
          </w:p>
        </w:tc>
        <w:tc>
          <w:tcPr>
            <w:tcW w:type="dxa" w:w="3561"/>
            <w:vAlign w:val="top"/>
          </w:tcPr>
          <w:p>
            <w:pPr>
              <w:spacing w:after="0"/>
            </w:pPr>
            <w:r>
              <w:rPr>
                <w:rFonts w:ascii="Times New Roman" w:hAnsi="Times New Roman"/>
                <w:sz w:val="14"/>
              </w:rPr>
              <w:t>rachum / channun</w:t>
            </w:r>
          </w:p>
        </w:tc>
        <w:tc>
          <w:tcPr>
            <w:tcW w:type="dxa" w:w="3561"/>
            <w:vAlign w:val="top"/>
          </w:tcPr>
          <w:p>
            <w:pPr>
              <w:spacing w:after="0"/>
            </w:pPr>
            <w:r>
              <w:rPr>
                <w:rFonts w:ascii="Times New Roman" w:hAnsi="Times New Roman"/>
                <w:sz w:val="14"/>
              </w:rPr>
              <w:t>Compassionate/merciful; gracious.</w:t>
            </w:r>
          </w:p>
        </w:tc>
      </w:tr>
      <w:tr>
        <w:tc>
          <w:tcPr>
            <w:tcW w:type="dxa" w:w="3561"/>
            <w:vAlign w:val="top"/>
          </w:tcPr>
          <w:p>
            <w:pPr>
              <w:spacing w:after="0"/>
            </w:pPr>
            <w:r>
              <w:rPr>
                <w:rFonts w:ascii="Times New Roman" w:hAnsi="Times New Roman"/>
                <w:sz w:val="14"/>
              </w:rPr>
              <w:t>Ex. 34:6</w:t>
            </w:r>
          </w:p>
        </w:tc>
        <w:tc>
          <w:tcPr>
            <w:tcW w:type="dxa" w:w="3561"/>
            <w:vAlign w:val="top"/>
          </w:tcPr>
          <w:p>
            <w:pPr>
              <w:spacing w:after="0"/>
            </w:pPr>
            <w:r>
              <w:rPr>
                <w:rFonts w:ascii="Times New Roman" w:hAnsi="Times New Roman"/>
                <w:sz w:val="14"/>
              </w:rPr>
              <w:t>’erekh appayim</w:t>
            </w:r>
          </w:p>
        </w:tc>
        <w:tc>
          <w:tcPr>
            <w:tcW w:type="dxa" w:w="3561"/>
            <w:vAlign w:val="top"/>
          </w:tcPr>
          <w:p>
            <w:pPr>
              <w:spacing w:after="0"/>
            </w:pPr>
            <w:r>
              <w:rPr>
                <w:rFonts w:ascii="Times New Roman" w:hAnsi="Times New Roman"/>
                <w:sz w:val="14"/>
              </w:rPr>
              <w:t>Slow to anger; literally long of nostrils.</w:t>
            </w:r>
          </w:p>
        </w:tc>
      </w:tr>
      <w:tr>
        <w:tc>
          <w:tcPr>
            <w:tcW w:type="dxa" w:w="3561"/>
            <w:vAlign w:val="top"/>
          </w:tcPr>
          <w:p>
            <w:pPr>
              <w:spacing w:after="0"/>
            </w:pPr>
            <w:r>
              <w:rPr>
                <w:rFonts w:ascii="Times New Roman" w:hAnsi="Times New Roman"/>
                <w:sz w:val="14"/>
              </w:rPr>
              <w:t>Ex. 34:6</w:t>
            </w:r>
          </w:p>
        </w:tc>
        <w:tc>
          <w:tcPr>
            <w:tcW w:type="dxa" w:w="3561"/>
            <w:vAlign w:val="top"/>
          </w:tcPr>
          <w:p>
            <w:pPr>
              <w:spacing w:after="0"/>
            </w:pPr>
            <w:r>
              <w:rPr>
                <w:rFonts w:ascii="Times New Roman" w:hAnsi="Times New Roman"/>
                <w:sz w:val="14"/>
              </w:rPr>
              <w:t>chesed / emeth</w:t>
            </w:r>
          </w:p>
        </w:tc>
        <w:tc>
          <w:tcPr>
            <w:tcW w:type="dxa" w:w="3561"/>
            <w:vAlign w:val="top"/>
          </w:tcPr>
          <w:p>
            <w:pPr>
              <w:spacing w:after="0"/>
            </w:pPr>
            <w:r>
              <w:rPr>
                <w:rFonts w:ascii="Times New Roman" w:hAnsi="Times New Roman"/>
                <w:sz w:val="14"/>
              </w:rPr>
              <w:t>Steadfast love/covenant kindness; truth/faithfulness.</w:t>
            </w:r>
          </w:p>
        </w:tc>
      </w:tr>
      <w:tr>
        <w:tc>
          <w:tcPr>
            <w:tcW w:type="dxa" w:w="3561"/>
            <w:vAlign w:val="top"/>
          </w:tcPr>
          <w:p>
            <w:pPr>
              <w:spacing w:after="0"/>
            </w:pPr>
            <w:r>
              <w:rPr>
                <w:rFonts w:ascii="Times New Roman" w:hAnsi="Times New Roman"/>
                <w:sz w:val="14"/>
              </w:rPr>
              <w:t>Ex. 34:7</w:t>
            </w:r>
          </w:p>
        </w:tc>
        <w:tc>
          <w:tcPr>
            <w:tcW w:type="dxa" w:w="3561"/>
            <w:vAlign w:val="top"/>
          </w:tcPr>
          <w:p>
            <w:pPr>
              <w:spacing w:after="0"/>
            </w:pPr>
            <w:r>
              <w:rPr>
                <w:rFonts w:ascii="Times New Roman" w:hAnsi="Times New Roman"/>
                <w:sz w:val="14"/>
              </w:rPr>
              <w:t>iniquity/transgression/sin</w:t>
            </w:r>
          </w:p>
        </w:tc>
        <w:tc>
          <w:tcPr>
            <w:tcW w:type="dxa" w:w="3561"/>
            <w:vAlign w:val="top"/>
          </w:tcPr>
          <w:p>
            <w:pPr>
              <w:spacing w:after="0"/>
            </w:pPr>
            <w:r>
              <w:rPr>
                <w:rFonts w:ascii="Times New Roman" w:hAnsi="Times New Roman"/>
                <w:sz w:val="14"/>
              </w:rPr>
              <w:t>Distinct Hebrew terms broadly covering human rebellion/failure.</w:t>
            </w:r>
          </w:p>
        </w:tc>
      </w:tr>
      <w:tr>
        <w:tc>
          <w:tcPr>
            <w:tcW w:type="dxa" w:w="3561"/>
            <w:vAlign w:val="top"/>
          </w:tcPr>
          <w:p>
            <w:pPr>
              <w:spacing w:after="0"/>
            </w:pPr>
            <w:r>
              <w:rPr>
                <w:rFonts w:ascii="Times New Roman" w:hAnsi="Times New Roman"/>
                <w:sz w:val="14"/>
              </w:rPr>
              <w:t>Ex. 34:7</w:t>
            </w:r>
          </w:p>
        </w:tc>
        <w:tc>
          <w:tcPr>
            <w:tcW w:type="dxa" w:w="3561"/>
            <w:vAlign w:val="top"/>
          </w:tcPr>
          <w:p>
            <w:pPr>
              <w:spacing w:after="0"/>
            </w:pPr>
            <w:r>
              <w:rPr>
                <w:rFonts w:ascii="Times New Roman" w:hAnsi="Times New Roman"/>
                <w:sz w:val="14"/>
              </w:rPr>
              <w:t>visiting iniquity</w:t>
            </w:r>
          </w:p>
        </w:tc>
        <w:tc>
          <w:tcPr>
            <w:tcW w:type="dxa" w:w="3561"/>
            <w:vAlign w:val="top"/>
          </w:tcPr>
          <w:p>
            <w:pPr>
              <w:spacing w:after="0"/>
            </w:pPr>
            <w:r>
              <w:rPr>
                <w:rFonts w:ascii="Times New Roman" w:hAnsi="Times New Roman"/>
                <w:sz w:val="14"/>
              </w:rPr>
              <w:t>Read with personal responsibility texts; not indiscriminate inherited guilt.</w:t>
            </w:r>
          </w:p>
        </w:tc>
      </w:tr>
      <w:tr>
        <w:tc>
          <w:tcPr>
            <w:tcW w:type="dxa" w:w="3561"/>
            <w:vAlign w:val="top"/>
          </w:tcPr>
          <w:p>
            <w:pPr>
              <w:spacing w:after="0"/>
            </w:pPr>
            <w:r>
              <w:rPr>
                <w:rFonts w:ascii="Times New Roman" w:hAnsi="Times New Roman"/>
                <w:sz w:val="14"/>
              </w:rPr>
              <w:t>Ex. 34:13</w:t>
            </w:r>
          </w:p>
        </w:tc>
        <w:tc>
          <w:tcPr>
            <w:tcW w:type="dxa" w:w="3561"/>
            <w:vAlign w:val="top"/>
          </w:tcPr>
          <w:p>
            <w:pPr>
              <w:spacing w:after="0"/>
            </w:pPr>
            <w:r>
              <w:rPr>
                <w:rFonts w:ascii="Times New Roman" w:hAnsi="Times New Roman"/>
                <w:sz w:val="14"/>
              </w:rPr>
              <w:t>Asherim</w:t>
            </w:r>
          </w:p>
        </w:tc>
        <w:tc>
          <w:tcPr>
            <w:tcW w:type="dxa" w:w="3561"/>
            <w:vAlign w:val="top"/>
          </w:tcPr>
          <w:p>
            <w:pPr>
              <w:spacing w:after="0"/>
            </w:pPr>
            <w:r>
              <w:rPr>
                <w:rFonts w:ascii="Times New Roman" w:hAnsi="Times New Roman"/>
                <w:sz w:val="14"/>
              </w:rPr>
              <w:t>Cultic Asherah objects/poles; KJV “groves” can mislead.</w:t>
            </w:r>
          </w:p>
        </w:tc>
      </w:tr>
      <w:tr>
        <w:tc>
          <w:tcPr>
            <w:tcW w:type="dxa" w:w="3561"/>
            <w:vAlign w:val="top"/>
          </w:tcPr>
          <w:p>
            <w:pPr>
              <w:spacing w:after="0"/>
            </w:pPr>
            <w:r>
              <w:rPr>
                <w:rFonts w:ascii="Times New Roman" w:hAnsi="Times New Roman"/>
                <w:sz w:val="14"/>
              </w:rPr>
              <w:t>Ex. 34:14</w:t>
            </w:r>
          </w:p>
        </w:tc>
        <w:tc>
          <w:tcPr>
            <w:tcW w:type="dxa" w:w="3561"/>
            <w:vAlign w:val="top"/>
          </w:tcPr>
          <w:p>
            <w:pPr>
              <w:spacing w:after="0"/>
            </w:pPr>
            <w:r>
              <w:rPr>
                <w:rFonts w:ascii="Times New Roman" w:hAnsi="Times New Roman"/>
                <w:sz w:val="14"/>
              </w:rPr>
              <w:t>qanna</w:t>
            </w:r>
          </w:p>
        </w:tc>
        <w:tc>
          <w:tcPr>
            <w:tcW w:type="dxa" w:w="3561"/>
            <w:vAlign w:val="top"/>
          </w:tcPr>
          <w:p>
            <w:pPr>
              <w:spacing w:after="0"/>
            </w:pPr>
            <w:r>
              <w:rPr>
                <w:rFonts w:ascii="Times New Roman" w:hAnsi="Times New Roman"/>
                <w:sz w:val="14"/>
              </w:rPr>
              <w:t>Jealous/zealous for exclusive covenant loyalty.</w:t>
            </w:r>
          </w:p>
        </w:tc>
      </w:tr>
      <w:tr>
        <w:tc>
          <w:tcPr>
            <w:tcW w:type="dxa" w:w="3561"/>
            <w:vAlign w:val="top"/>
          </w:tcPr>
          <w:p>
            <w:pPr>
              <w:spacing w:after="0"/>
            </w:pPr>
            <w:r>
              <w:rPr>
                <w:rFonts w:ascii="Times New Roman" w:hAnsi="Times New Roman"/>
                <w:sz w:val="14"/>
              </w:rPr>
              <w:t>Ex. 34:21</w:t>
            </w:r>
          </w:p>
        </w:tc>
        <w:tc>
          <w:tcPr>
            <w:tcW w:type="dxa" w:w="3561"/>
            <w:vAlign w:val="top"/>
          </w:tcPr>
          <w:p>
            <w:pPr>
              <w:spacing w:after="0"/>
            </w:pPr>
            <w:r>
              <w:rPr>
                <w:rFonts w:ascii="Times New Roman" w:hAnsi="Times New Roman"/>
                <w:sz w:val="14"/>
              </w:rPr>
              <w:t>earing</w:t>
            </w:r>
          </w:p>
        </w:tc>
        <w:tc>
          <w:tcPr>
            <w:tcW w:type="dxa" w:w="3561"/>
            <w:vAlign w:val="top"/>
          </w:tcPr>
          <w:p>
            <w:pPr>
              <w:spacing w:after="0"/>
            </w:pPr>
            <w:r>
              <w:rPr>
                <w:rFonts w:ascii="Times New Roman" w:hAnsi="Times New Roman"/>
                <w:sz w:val="14"/>
              </w:rPr>
              <w:t>Old English: ploughing/tilling.</w:t>
            </w:r>
          </w:p>
        </w:tc>
      </w:tr>
      <w:tr>
        <w:tc>
          <w:tcPr>
            <w:tcW w:type="dxa" w:w="3561"/>
            <w:vAlign w:val="top"/>
          </w:tcPr>
          <w:p>
            <w:pPr>
              <w:spacing w:after="0"/>
            </w:pPr>
            <w:r>
              <w:rPr>
                <w:rFonts w:ascii="Times New Roman" w:hAnsi="Times New Roman"/>
                <w:sz w:val="14"/>
              </w:rPr>
              <w:t>Ex. 34:26</w:t>
            </w:r>
          </w:p>
        </w:tc>
        <w:tc>
          <w:tcPr>
            <w:tcW w:type="dxa" w:w="3561"/>
            <w:vAlign w:val="top"/>
          </w:tcPr>
          <w:p>
            <w:pPr>
              <w:spacing w:after="0"/>
            </w:pPr>
            <w:r>
              <w:rPr>
                <w:rFonts w:ascii="Times New Roman" w:hAnsi="Times New Roman"/>
                <w:sz w:val="14"/>
              </w:rPr>
              <w:t>kid in mother’s milk</w:t>
            </w:r>
          </w:p>
        </w:tc>
        <w:tc>
          <w:tcPr>
            <w:tcW w:type="dxa" w:w="3561"/>
            <w:vAlign w:val="top"/>
          </w:tcPr>
          <w:p>
            <w:pPr>
              <w:spacing w:after="0"/>
            </w:pPr>
            <w:r>
              <w:rPr>
                <w:rFonts w:ascii="Times New Roman" w:hAnsi="Times New Roman"/>
                <w:sz w:val="14"/>
              </w:rPr>
              <w:t>Rationale unstated; pagan ritual theory remains uncertain.</w:t>
            </w:r>
          </w:p>
        </w:tc>
      </w:tr>
      <w:tr>
        <w:tc>
          <w:tcPr>
            <w:tcW w:type="dxa" w:w="3561"/>
            <w:vAlign w:val="top"/>
          </w:tcPr>
          <w:p>
            <w:pPr>
              <w:spacing w:after="0"/>
            </w:pPr>
            <w:r>
              <w:rPr>
                <w:rFonts w:ascii="Times New Roman" w:hAnsi="Times New Roman"/>
                <w:sz w:val="14"/>
              </w:rPr>
              <w:t>Ex. 34:28</w:t>
            </w:r>
          </w:p>
        </w:tc>
        <w:tc>
          <w:tcPr>
            <w:tcW w:type="dxa" w:w="3561"/>
            <w:vAlign w:val="top"/>
          </w:tcPr>
          <w:p>
            <w:pPr>
              <w:spacing w:after="0"/>
            </w:pPr>
            <w:r>
              <w:rPr>
                <w:rFonts w:ascii="Times New Roman" w:hAnsi="Times New Roman"/>
                <w:sz w:val="14"/>
              </w:rPr>
              <w:t>Ten Words</w:t>
            </w:r>
          </w:p>
        </w:tc>
        <w:tc>
          <w:tcPr>
            <w:tcW w:type="dxa" w:w="3561"/>
            <w:vAlign w:val="top"/>
          </w:tcPr>
          <w:p>
            <w:pPr>
              <w:spacing w:after="0"/>
            </w:pPr>
            <w:r>
              <w:rPr>
                <w:rFonts w:ascii="Times New Roman" w:hAnsi="Times New Roman"/>
                <w:sz w:val="14"/>
              </w:rPr>
              <w:t>Words of covenant written on tablets; compare Deut. 10:1–4.</w:t>
            </w:r>
          </w:p>
        </w:tc>
      </w:tr>
      <w:tr>
        <w:tc>
          <w:tcPr>
            <w:tcW w:type="dxa" w:w="3561"/>
            <w:vAlign w:val="top"/>
          </w:tcPr>
          <w:p>
            <w:pPr>
              <w:spacing w:after="0"/>
            </w:pPr>
            <w:r>
              <w:rPr>
                <w:rFonts w:ascii="Times New Roman" w:hAnsi="Times New Roman"/>
                <w:sz w:val="14"/>
              </w:rPr>
              <w:t>Ex. 34:29</w:t>
            </w:r>
          </w:p>
        </w:tc>
        <w:tc>
          <w:tcPr>
            <w:tcW w:type="dxa" w:w="3561"/>
            <w:vAlign w:val="top"/>
          </w:tcPr>
          <w:p>
            <w:pPr>
              <w:spacing w:after="0"/>
            </w:pPr>
            <w:r>
              <w:rPr>
                <w:rFonts w:ascii="Times New Roman" w:hAnsi="Times New Roman"/>
                <w:sz w:val="14"/>
              </w:rPr>
              <w:t>qaran</w:t>
            </w:r>
          </w:p>
        </w:tc>
        <w:tc>
          <w:tcPr>
            <w:tcW w:type="dxa" w:w="3561"/>
            <w:vAlign w:val="top"/>
          </w:tcPr>
          <w:p>
            <w:pPr>
              <w:spacing w:after="0"/>
            </w:pPr>
            <w:r>
              <w:rPr>
                <w:rFonts w:ascii="Times New Roman" w:hAnsi="Times New Roman"/>
                <w:sz w:val="14"/>
              </w:rPr>
              <w:t>Emit rays/shine; not literal horns in context.</w:t>
            </w:r>
          </w:p>
        </w:tc>
      </w:tr>
      <w:tr>
        <w:tc>
          <w:tcPr>
            <w:tcW w:type="dxa" w:w="3561"/>
            <w:vAlign w:val="top"/>
          </w:tcPr>
          <w:p>
            <w:pPr>
              <w:spacing w:after="0"/>
            </w:pPr>
            <w:r>
              <w:rPr>
                <w:rFonts w:ascii="Times New Roman" w:hAnsi="Times New Roman"/>
                <w:sz w:val="14"/>
              </w:rPr>
              <w:t>Ex. 34:33</w:t>
            </w:r>
          </w:p>
        </w:tc>
        <w:tc>
          <w:tcPr>
            <w:tcW w:type="dxa" w:w="3561"/>
            <w:vAlign w:val="top"/>
          </w:tcPr>
          <w:p>
            <w:pPr>
              <w:spacing w:after="0"/>
            </w:pPr>
            <w:r>
              <w:rPr>
                <w:rFonts w:ascii="Times New Roman" w:hAnsi="Times New Roman"/>
                <w:sz w:val="14"/>
              </w:rPr>
              <w:t>masveh</w:t>
            </w:r>
          </w:p>
        </w:tc>
        <w:tc>
          <w:tcPr>
            <w:tcW w:type="dxa" w:w="3561"/>
            <w:vAlign w:val="top"/>
          </w:tcPr>
          <w:p>
            <w:pPr>
              <w:spacing w:after="0"/>
            </w:pPr>
            <w:r>
              <w:rPr>
                <w:rFonts w:ascii="Times New Roman" w:hAnsi="Times New Roman"/>
                <w:sz w:val="14"/>
              </w:rPr>
              <w:t>Veil covering Moses’ radiant face.</w:t>
            </w:r>
          </w:p>
        </w:tc>
      </w:tr>
      <w:tr>
        <w:tc>
          <w:tcPr>
            <w:tcW w:type="dxa" w:w="3561"/>
            <w:vAlign w:val="top"/>
          </w:tcPr>
          <w:p>
            <w:pPr>
              <w:spacing w:after="0"/>
            </w:pPr>
            <w:r>
              <w:rPr>
                <w:rFonts w:ascii="Times New Roman" w:hAnsi="Times New Roman"/>
                <w:sz w:val="14"/>
              </w:rPr>
              <w:t>2 Cor. 3:7–18</w:t>
            </w:r>
          </w:p>
        </w:tc>
        <w:tc>
          <w:tcPr>
            <w:tcW w:type="dxa" w:w="3561"/>
            <w:vAlign w:val="top"/>
          </w:tcPr>
          <w:p>
            <w:pPr>
              <w:spacing w:after="0"/>
            </w:pPr>
            <w:r>
              <w:rPr>
                <w:rFonts w:ascii="Times New Roman" w:hAnsi="Times New Roman"/>
                <w:sz w:val="14"/>
              </w:rPr>
              <w:t>veil/glory interpretation</w:t>
            </w:r>
          </w:p>
        </w:tc>
        <w:tc>
          <w:tcPr>
            <w:tcW w:type="dxa" w:w="3561"/>
            <w:vAlign w:val="top"/>
          </w:tcPr>
          <w:p>
            <w:pPr>
              <w:spacing w:after="0"/>
            </w:pPr>
            <w:r>
              <w:rPr>
                <w:rFonts w:ascii="Times New Roman" w:hAnsi="Times New Roman"/>
                <w:sz w:val="14"/>
              </w:rPr>
              <w:t>Explicit apostolic exposition of Exodus 34.</w:t>
            </w:r>
          </w:p>
        </w:tc>
      </w:tr>
    </w:tbl>
    <w:p>
      <w:pPr>
        <w:pStyle w:val="Heading1"/>
      </w:pPr>
      <w:r>
        <w:t>RESIDUAL UNCERTAINTIES</w:t>
      </w:r>
    </w:p>
    <w:p>
      <w:pPr/>
      <w:r>
        <w:rPr>
          <w:i w:val="0"/>
        </w:rPr>
        <w:t>The precise historical form of the Asherah objects varies across ancient contexts, and the kid-in-milk rationale remains unexplained. The mechanics of Moses’ radiance are not described beyond qaran. Mansfield’s extensive prophetic applications are best kept subordinate to the explicit New Testament exposition in 2 Corinthians 3.</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34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