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11</w:t>
      </w:r>
    </w:p>
    <w:p>
      <w:pPr>
        <w:pStyle w:val="Subtitle"/>
      </w:pPr>
      <w:r>
        <w:t>ONE PLAGUE MORE • ASK, NOT BORROW • MIDNIGHT JUDGMENT • THE FIRSTBORN • ISRAEL DISTINGUISHED</w:t>
      </w:r>
    </w:p>
    <w:p>
      <w:pPr/>
      <w:r>
        <w:rPr>
          <w:i/>
        </w:rPr>
        <w:t>H. P. Mansfield Bible notes — checked and arranged in verse-by-verse Expositor style</w:t>
      </w:r>
    </w:p>
    <w:p>
      <w:pPr/>
      <w:r>
        <w:rPr>
          <w:i w:val="0"/>
        </w:rPr>
        <w:t>Source: HPB 02-Gen42-Lev11.pdf, principally the Exodus 11 photographed pages</w:t>
      </w:r>
    </w:p>
    <w:p>
      <w:pPr>
        <w:pStyle w:val="Heading1"/>
      </w:pPr>
      <w:r>
        <w:t>CHAPTER OVERVIEW</w:t>
      </w:r>
    </w:p>
    <w:p>
      <w:pPr/>
      <w:r>
        <w:rPr>
          <w:i w:val="0"/>
        </w:rPr>
        <w:t>Exodus 11 announces the final plague before the Passover instructions. Pharaoh’s refusal to release Yahweh’s firstborn son, Israel, is about to meet a measure-for-measure judgment upon Egypt’s firstborn.</w:t>
      </w:r>
    </w:p>
    <w:p>
      <w:pPr/>
      <w:r>
        <w:rPr>
          <w:i w:val="0"/>
        </w:rPr>
        <w:t>The chapter also completes Moses’ public vindication: the rejected fugitive has become “very great” in Egypt, while Pharaoh’s own servants will soon bow before him and urge Israel to depart.</w:t>
      </w:r>
    </w:p>
    <w:p>
      <w:pPr>
        <w:pStyle w:val="Heading1"/>
      </w:pPr>
      <w:r>
        <w:t>THE FINAL WARNING — EXODUS 11:1–3</w:t>
      </w:r>
    </w:p>
    <w:p>
      <w:pPr>
        <w:pStyle w:val="Heading2"/>
      </w:pPr>
      <w:r>
        <w:t>Exodus 11:1 — one plague more</w:t>
      </w:r>
    </w:p>
    <w:p>
      <w:pPr/>
      <w:r>
        <w:rPr>
          <w:i w:val="0"/>
        </w:rPr>
        <w:t>Yahweh announces one final plague. After it Pharaoh will not merely permit departure but will urgently drive Israel out. This completes the reversal of the king’s earlier “I will not let Israel go.”</w:t>
      </w:r>
    </w:p>
    <w:p>
      <w:pPr/>
      <w:r>
        <w:rPr>
          <w:i w:val="0"/>
        </w:rPr>
        <w:t>Verses 1–3 are commonly read as parenthetic background explaining how Moses already knew the contest was at its final stage before the warning of verses 4–8.</w:t>
      </w:r>
    </w:p>
    <w:p>
      <w:pPr>
        <w:pStyle w:val="Heading2"/>
      </w:pPr>
      <w:r>
        <w:t>Exodus 11:2–3 — ask for silver and gold</w:t>
      </w:r>
    </w:p>
    <w:p>
      <w:pPr/>
      <w:r>
        <w:rPr>
          <w:i w:val="0"/>
        </w:rPr>
        <w:t>The KJV “borrow” is misleading in modern English. Hebrew sha’al means ask/request; Exodus 12:35–36 uses the same language and calls the result the spoiling of Egypt, not a temporary loan.</w:t>
      </w:r>
    </w:p>
    <w:p>
      <w:pPr/>
      <w:r>
        <w:rPr>
          <w:i w:val="0"/>
        </w:rPr>
        <w:t>Yahweh gives Israel favour, and Moses is described as very great in the sight of Pharaoh’s servants and the people.</w:t>
      </w:r>
    </w:p>
    <w:p>
      <w:pPr>
        <w:pStyle w:val="Heading1"/>
      </w:pPr>
      <w:r>
        <w:t>THE FIRSTBORN THREATENED — EXODUS 11:4–8</w:t>
      </w:r>
    </w:p>
    <w:p>
      <w:pPr>
        <w:pStyle w:val="Heading2"/>
      </w:pPr>
      <w:r>
        <w:t>Exodus 11:4–6 — about midnight</w:t>
      </w:r>
    </w:p>
    <w:p>
      <w:pPr/>
      <w:r>
        <w:rPr>
          <w:i w:val="0"/>
        </w:rPr>
        <w:t>About midnight Yahweh will go through Egypt and the firstborn will die from Pharaoh’s house to the lowest servant household, together with firstborn livestock. The judgment reaches every social level.</w:t>
      </w:r>
    </w:p>
    <w:p>
      <w:pPr/>
      <w:r>
        <w:rPr>
          <w:i w:val="0"/>
        </w:rPr>
        <w:t>The connection with Exodus 4:22–23 is explicit in the larger narrative: Israel is Yahweh’s son, His firstborn; Pharaoh’s refusal to release that son brings judgment upon Egypt’s firstborn.</w:t>
      </w:r>
    </w:p>
    <w:p>
      <w:pPr>
        <w:pStyle w:val="Heading2"/>
      </w:pPr>
      <w:r>
        <w:t>Exodus 11:7 — complete distinction</w:t>
      </w:r>
    </w:p>
    <w:p>
      <w:pPr/>
      <w:r>
        <w:rPr>
          <w:i w:val="0"/>
        </w:rPr>
        <w:t>Against Israel not even a dog will “move his tongue,” an idiom of extraordinary quiet and security. The stated purpose is that people may know Yahweh puts a difference between Egypt and Israel.</w:t>
      </w:r>
    </w:p>
    <w:p>
      <w:pPr>
        <w:pStyle w:val="Heading2"/>
      </w:pPr>
      <w:r>
        <w:t>Exodus 11:8 — servants bow; Moses leaves in anger</w:t>
      </w:r>
    </w:p>
    <w:p>
      <w:pPr/>
      <w:r>
        <w:rPr>
          <w:i w:val="0"/>
        </w:rPr>
        <w:t>Moses says Pharaoh’s servants will come down and bow before him, begging Israel to depart. The direction of submission has completely reversed.</w:t>
      </w:r>
    </w:p>
    <w:p>
      <w:pPr/>
      <w:r>
        <w:rPr>
          <w:i w:val="0"/>
        </w:rPr>
        <w:t>Moses leaves in heat of anger. Numbers 12:3 calls him very meek, showing that meekness is compatible with principled anger.</w:t>
      </w:r>
    </w:p>
    <w:p>
      <w:pPr>
        <w:pStyle w:val="Heading1"/>
      </w:pPr>
      <w:r>
        <w:t>WHY THE WONDERS WERE MULTIPLIED — EXODUS 11:9–10</w:t>
      </w:r>
    </w:p>
    <w:p>
      <w:pPr>
        <w:pStyle w:val="Heading2"/>
      </w:pPr>
      <w:r>
        <w:t>Exodus 11:9–10 — resistance serves revelation</w:t>
      </w:r>
    </w:p>
    <w:p>
      <w:pPr/>
      <w:r>
        <w:rPr>
          <w:i w:val="0"/>
        </w:rPr>
        <w:t>Yahweh had already said Pharaoh would not listen so that His wonders might be multiplied. The prolonged contest is not failure of evidence; it becomes the setting in which Egypt, Israel and later generations learn Yahweh’s power and Name.</w:t>
      </w:r>
    </w:p>
    <w:p>
      <w:pPr/>
      <w:r>
        <w:rPr>
          <w:i w:val="0"/>
        </w:rPr>
        <w:t>Chapter 11 announces death; chapter 12 supplies the appointed means by which Israel’s households are spared.</w:t>
      </w:r>
    </w:p>
    <w:p>
      <w:pPr>
        <w:pStyle w:val="Heading1"/>
      </w:pPr>
      <w:r>
        <w:t>PRINCIPAL THEMES</w:t>
      </w:r>
    </w:p>
    <w:p>
      <w:pPr>
        <w:ind w:left="259" w:hanging="202"/>
      </w:pPr>
      <w:r>
        <w:rPr>
          <w:b/>
        </w:rPr>
        <w:t xml:space="preserve">• </w:t>
      </w:r>
      <w:r>
        <w:t>The final plague completes the reversal of Pharaoh’s policy.</w:t>
      </w:r>
    </w:p>
    <w:p>
      <w:pPr>
        <w:ind w:left="259" w:hanging="202"/>
      </w:pPr>
      <w:r>
        <w:rPr>
          <w:b/>
        </w:rPr>
        <w:t xml:space="preserve">• </w:t>
      </w:r>
      <w:r>
        <w:t>Israel asks for Egyptian wealth; it is not an ordinary loan.</w:t>
      </w:r>
    </w:p>
    <w:p>
      <w:pPr>
        <w:ind w:left="259" w:hanging="202"/>
      </w:pPr>
      <w:r>
        <w:rPr>
          <w:b/>
        </w:rPr>
        <w:t xml:space="preserve">• </w:t>
      </w:r>
      <w:r>
        <w:t>Judgment on Egypt’s firstborn answers Pharaoh’s assault on Yahweh’s firstborn.</w:t>
      </w:r>
    </w:p>
    <w:p>
      <w:pPr>
        <w:ind w:left="259" w:hanging="202"/>
      </w:pPr>
      <w:r>
        <w:rPr>
          <w:b/>
        </w:rPr>
        <w:t xml:space="preserve">• </w:t>
      </w:r>
      <w:r>
        <w:t>Yahweh distinguishes Israel from Egypt with precision.</w:t>
      </w:r>
    </w:p>
    <w:p>
      <w:pPr>
        <w:ind w:left="259" w:hanging="202"/>
      </w:pPr>
      <w:r>
        <w:rPr>
          <w:b/>
        </w:rPr>
        <w:t xml:space="preserve">• </w:t>
      </w:r>
      <w:r>
        <w:t>Moses is publicly vindicated.</w:t>
      </w:r>
    </w:p>
    <w:p>
      <w:pPr>
        <w:ind w:left="259" w:hanging="202"/>
      </w:pPr>
      <w:r>
        <w:rPr>
          <w:b/>
        </w:rPr>
        <w:t xml:space="preserve">• </w:t>
      </w:r>
      <w:r>
        <w:t>The threatened judgment makes the Passover provision necessary.</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Ex. 11:1</w:t>
            </w:r>
          </w:p>
        </w:tc>
        <w:tc>
          <w:tcPr>
            <w:tcW w:type="dxa" w:w="3552"/>
            <w:vAlign w:val="top"/>
          </w:tcPr>
          <w:p>
            <w:pPr>
              <w:spacing w:after="0"/>
            </w:pPr>
            <w:r>
              <w:rPr>
                <w:rFonts w:ascii="Times New Roman" w:hAnsi="Times New Roman"/>
                <w:sz w:val="15"/>
              </w:rPr>
              <w:t>drive out altogether</w:t>
            </w:r>
          </w:p>
        </w:tc>
        <w:tc>
          <w:tcPr>
            <w:tcW w:type="dxa" w:w="3552"/>
            <w:vAlign w:val="top"/>
          </w:tcPr>
          <w:p>
            <w:pPr>
              <w:spacing w:after="0"/>
            </w:pPr>
            <w:r>
              <w:rPr>
                <w:rFonts w:ascii="Times New Roman" w:hAnsi="Times New Roman"/>
                <w:sz w:val="15"/>
              </w:rPr>
              <w:t>Final plague turns refusal into urgent expulsion.</w:t>
            </w:r>
          </w:p>
        </w:tc>
      </w:tr>
      <w:tr>
        <w:tc>
          <w:tcPr>
            <w:tcW w:type="dxa" w:w="3552"/>
            <w:vAlign w:val="top"/>
          </w:tcPr>
          <w:p>
            <w:pPr>
              <w:spacing w:after="0"/>
            </w:pPr>
            <w:r>
              <w:rPr>
                <w:rFonts w:ascii="Times New Roman" w:hAnsi="Times New Roman"/>
                <w:sz w:val="15"/>
              </w:rPr>
              <w:t>Ex. 11:2</w:t>
            </w:r>
          </w:p>
        </w:tc>
        <w:tc>
          <w:tcPr>
            <w:tcW w:type="dxa" w:w="3552"/>
            <w:vAlign w:val="top"/>
          </w:tcPr>
          <w:p>
            <w:pPr>
              <w:spacing w:after="0"/>
            </w:pPr>
            <w:r>
              <w:rPr>
                <w:rFonts w:ascii="Times New Roman" w:hAnsi="Times New Roman"/>
                <w:sz w:val="15"/>
              </w:rPr>
              <w:t>sha’al</w:t>
            </w:r>
          </w:p>
        </w:tc>
        <w:tc>
          <w:tcPr>
            <w:tcW w:type="dxa" w:w="3552"/>
            <w:vAlign w:val="top"/>
          </w:tcPr>
          <w:p>
            <w:pPr>
              <w:spacing w:after="0"/>
            </w:pPr>
            <w:r>
              <w:rPr>
                <w:rFonts w:ascii="Times New Roman" w:hAnsi="Times New Roman"/>
                <w:sz w:val="15"/>
              </w:rPr>
              <w:t>Ask/request; not modern temporary borrowing.</w:t>
            </w:r>
          </w:p>
        </w:tc>
      </w:tr>
      <w:tr>
        <w:tc>
          <w:tcPr>
            <w:tcW w:type="dxa" w:w="3552"/>
            <w:vAlign w:val="top"/>
          </w:tcPr>
          <w:p>
            <w:pPr>
              <w:spacing w:after="0"/>
            </w:pPr>
            <w:r>
              <w:rPr>
                <w:rFonts w:ascii="Times New Roman" w:hAnsi="Times New Roman"/>
                <w:sz w:val="15"/>
              </w:rPr>
              <w:t>Ex. 11:3</w:t>
            </w:r>
          </w:p>
        </w:tc>
        <w:tc>
          <w:tcPr>
            <w:tcW w:type="dxa" w:w="3552"/>
            <w:vAlign w:val="top"/>
          </w:tcPr>
          <w:p>
            <w:pPr>
              <w:spacing w:after="0"/>
            </w:pPr>
            <w:r>
              <w:rPr>
                <w:rFonts w:ascii="Times New Roman" w:hAnsi="Times New Roman"/>
                <w:sz w:val="15"/>
              </w:rPr>
              <w:t>Moses very great</w:t>
            </w:r>
          </w:p>
        </w:tc>
        <w:tc>
          <w:tcPr>
            <w:tcW w:type="dxa" w:w="3552"/>
            <w:vAlign w:val="top"/>
          </w:tcPr>
          <w:p>
            <w:pPr>
              <w:spacing w:after="0"/>
            </w:pPr>
            <w:r>
              <w:rPr>
                <w:rFonts w:ascii="Times New Roman" w:hAnsi="Times New Roman"/>
                <w:sz w:val="15"/>
              </w:rPr>
              <w:t>Public vindication in Egypt.</w:t>
            </w:r>
          </w:p>
        </w:tc>
      </w:tr>
      <w:tr>
        <w:tc>
          <w:tcPr>
            <w:tcW w:type="dxa" w:w="3552"/>
            <w:vAlign w:val="top"/>
          </w:tcPr>
          <w:p>
            <w:pPr>
              <w:spacing w:after="0"/>
            </w:pPr>
            <w:r>
              <w:rPr>
                <w:rFonts w:ascii="Times New Roman" w:hAnsi="Times New Roman"/>
                <w:sz w:val="15"/>
              </w:rPr>
              <w:t>Ex. 11:4</w:t>
            </w:r>
          </w:p>
        </w:tc>
        <w:tc>
          <w:tcPr>
            <w:tcW w:type="dxa" w:w="3552"/>
            <w:vAlign w:val="top"/>
          </w:tcPr>
          <w:p>
            <w:pPr>
              <w:spacing w:after="0"/>
            </w:pPr>
            <w:r>
              <w:rPr>
                <w:rFonts w:ascii="Times New Roman" w:hAnsi="Times New Roman"/>
                <w:sz w:val="15"/>
              </w:rPr>
              <w:t>about midnight</w:t>
            </w:r>
          </w:p>
        </w:tc>
        <w:tc>
          <w:tcPr>
            <w:tcW w:type="dxa" w:w="3552"/>
            <w:vAlign w:val="top"/>
          </w:tcPr>
          <w:p>
            <w:pPr>
              <w:spacing w:after="0"/>
            </w:pPr>
            <w:r>
              <w:rPr>
                <w:rFonts w:ascii="Times New Roman" w:hAnsi="Times New Roman"/>
                <w:sz w:val="15"/>
              </w:rPr>
              <w:t>Hour announced; Passover context supplies the date.</w:t>
            </w:r>
          </w:p>
        </w:tc>
      </w:tr>
      <w:tr>
        <w:tc>
          <w:tcPr>
            <w:tcW w:type="dxa" w:w="3552"/>
            <w:vAlign w:val="top"/>
          </w:tcPr>
          <w:p>
            <w:pPr>
              <w:spacing w:after="0"/>
            </w:pPr>
            <w:r>
              <w:rPr>
                <w:rFonts w:ascii="Times New Roman" w:hAnsi="Times New Roman"/>
                <w:sz w:val="15"/>
              </w:rPr>
              <w:t>Ex. 11:5</w:t>
            </w:r>
          </w:p>
        </w:tc>
        <w:tc>
          <w:tcPr>
            <w:tcW w:type="dxa" w:w="3552"/>
            <w:vAlign w:val="top"/>
          </w:tcPr>
          <w:p>
            <w:pPr>
              <w:spacing w:after="0"/>
            </w:pPr>
            <w:r>
              <w:rPr>
                <w:rFonts w:ascii="Times New Roman" w:hAnsi="Times New Roman"/>
                <w:sz w:val="15"/>
              </w:rPr>
              <w:t>firstborn</w:t>
            </w:r>
          </w:p>
        </w:tc>
        <w:tc>
          <w:tcPr>
            <w:tcW w:type="dxa" w:w="3552"/>
            <w:vAlign w:val="top"/>
          </w:tcPr>
          <w:p>
            <w:pPr>
              <w:spacing w:after="0"/>
            </w:pPr>
            <w:r>
              <w:rPr>
                <w:rFonts w:ascii="Times New Roman" w:hAnsi="Times New Roman"/>
                <w:sz w:val="15"/>
              </w:rPr>
              <w:t>Narrative correspondence with Ex. 4:22–23.</w:t>
            </w:r>
          </w:p>
        </w:tc>
      </w:tr>
      <w:tr>
        <w:tc>
          <w:tcPr>
            <w:tcW w:type="dxa" w:w="3552"/>
            <w:vAlign w:val="top"/>
          </w:tcPr>
          <w:p>
            <w:pPr>
              <w:spacing w:after="0"/>
            </w:pPr>
            <w:r>
              <w:rPr>
                <w:rFonts w:ascii="Times New Roman" w:hAnsi="Times New Roman"/>
                <w:sz w:val="15"/>
              </w:rPr>
              <w:t>Ex. 11:7</w:t>
            </w:r>
          </w:p>
        </w:tc>
        <w:tc>
          <w:tcPr>
            <w:tcW w:type="dxa" w:w="3552"/>
            <w:vAlign w:val="top"/>
          </w:tcPr>
          <w:p>
            <w:pPr>
              <w:spacing w:after="0"/>
            </w:pPr>
            <w:r>
              <w:rPr>
                <w:rFonts w:ascii="Times New Roman" w:hAnsi="Times New Roman"/>
                <w:sz w:val="15"/>
              </w:rPr>
              <w:t>dog move tongue</w:t>
            </w:r>
          </w:p>
        </w:tc>
        <w:tc>
          <w:tcPr>
            <w:tcW w:type="dxa" w:w="3552"/>
            <w:vAlign w:val="top"/>
          </w:tcPr>
          <w:p>
            <w:pPr>
              <w:spacing w:after="0"/>
            </w:pPr>
            <w:r>
              <w:rPr>
                <w:rFonts w:ascii="Times New Roman" w:hAnsi="Times New Roman"/>
                <w:sz w:val="15"/>
              </w:rPr>
              <w:t>Idiom of complete quiet/security.</w:t>
            </w:r>
          </w:p>
        </w:tc>
      </w:tr>
      <w:tr>
        <w:tc>
          <w:tcPr>
            <w:tcW w:type="dxa" w:w="3552"/>
            <w:vAlign w:val="top"/>
          </w:tcPr>
          <w:p>
            <w:pPr>
              <w:spacing w:after="0"/>
            </w:pPr>
            <w:r>
              <w:rPr>
                <w:rFonts w:ascii="Times New Roman" w:hAnsi="Times New Roman"/>
                <w:sz w:val="15"/>
              </w:rPr>
              <w:t>Ex. 11:7</w:t>
            </w:r>
          </w:p>
        </w:tc>
        <w:tc>
          <w:tcPr>
            <w:tcW w:type="dxa" w:w="3552"/>
            <w:vAlign w:val="top"/>
          </w:tcPr>
          <w:p>
            <w:pPr>
              <w:spacing w:after="0"/>
            </w:pPr>
            <w:r>
              <w:rPr>
                <w:rFonts w:ascii="Times New Roman" w:hAnsi="Times New Roman"/>
                <w:sz w:val="15"/>
              </w:rPr>
              <w:t>difference</w:t>
            </w:r>
          </w:p>
        </w:tc>
        <w:tc>
          <w:tcPr>
            <w:tcW w:type="dxa" w:w="3552"/>
            <w:vAlign w:val="top"/>
          </w:tcPr>
          <w:p>
            <w:pPr>
              <w:spacing w:after="0"/>
            </w:pPr>
            <w:r>
              <w:rPr>
                <w:rFonts w:ascii="Times New Roman" w:hAnsi="Times New Roman"/>
                <w:sz w:val="15"/>
              </w:rPr>
              <w:t>Controlled distinction between Israel and Egypt.</w:t>
            </w:r>
          </w:p>
        </w:tc>
      </w:tr>
      <w:tr>
        <w:tc>
          <w:tcPr>
            <w:tcW w:type="dxa" w:w="3552"/>
            <w:vAlign w:val="top"/>
          </w:tcPr>
          <w:p>
            <w:pPr>
              <w:spacing w:after="0"/>
            </w:pPr>
            <w:r>
              <w:rPr>
                <w:rFonts w:ascii="Times New Roman" w:hAnsi="Times New Roman"/>
                <w:sz w:val="15"/>
              </w:rPr>
              <w:t>Ex. 11:8</w:t>
            </w:r>
          </w:p>
        </w:tc>
        <w:tc>
          <w:tcPr>
            <w:tcW w:type="dxa" w:w="3552"/>
            <w:vAlign w:val="top"/>
          </w:tcPr>
          <w:p>
            <w:pPr>
              <w:spacing w:after="0"/>
            </w:pPr>
            <w:r>
              <w:rPr>
                <w:rFonts w:ascii="Times New Roman" w:hAnsi="Times New Roman"/>
                <w:sz w:val="15"/>
              </w:rPr>
              <w:t>bow down</w:t>
            </w:r>
          </w:p>
        </w:tc>
        <w:tc>
          <w:tcPr>
            <w:tcW w:type="dxa" w:w="3552"/>
            <w:vAlign w:val="top"/>
          </w:tcPr>
          <w:p>
            <w:pPr>
              <w:spacing w:after="0"/>
            </w:pPr>
            <w:r>
              <w:rPr>
                <w:rFonts w:ascii="Times New Roman" w:hAnsi="Times New Roman"/>
                <w:sz w:val="15"/>
              </w:rPr>
              <w:t>Pharaoh’s servants will humble themselves before Moses.</w:t>
            </w:r>
          </w:p>
        </w:tc>
      </w:tr>
    </w:tbl>
    <w:p>
      <w:pPr>
        <w:pStyle w:val="Heading1"/>
      </w:pPr>
      <w:r>
        <w:t>RESIDUAL UNCERTAINTIES</w:t>
      </w:r>
    </w:p>
    <w:p>
      <w:pPr/>
      <w:r>
        <w:rPr>
          <w:i w:val="0"/>
        </w:rPr>
        <w:t>The exact literary chronology between Exodus 10:29 and 11:1–3 is not explicitly explained; a parenthetic reading is plausible. Detailed Egyptian deity identifications attached to the firstborn are background proposals rather than necessary facts.</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sz w:val="16"/>
      </w:rPr>
      <w:t>H. P. MANSFIELD BIBLE NOTES  •  EXODUS 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0" w:after="16"/>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0" w:after="16"/>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