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12</w:t>
      </w:r>
    </w:p>
    <w:p>
      <w:pPr>
        <w:pStyle w:val="Subtitle"/>
      </w:pPr>
      <w:r>
        <w:t>THE PASSOVER • NEW BEGINNING • UNBLEMISHED LAMB • BLOOD ON THE DOOR • UNLEAVENED BREAD • THE EXODUS</w:t>
      </w:r>
    </w:p>
    <w:p>
      <w:pPr/>
      <w:r>
        <w:rPr>
          <w:i/>
        </w:rPr>
        <w:t>H. P. Mansfield Bible notes — checked and arranged in verse-by-verse Expositor style</w:t>
      </w:r>
    </w:p>
    <w:p>
      <w:pPr/>
      <w:r>
        <w:rPr>
          <w:i w:val="0"/>
        </w:rPr>
        <w:t>Source: HPB 02-Gen42-Lev11.pdf, principally the Exodus 12 photographed pages</w:t>
      </w:r>
    </w:p>
    <w:p>
      <w:pPr>
        <w:pStyle w:val="Heading1"/>
      </w:pPr>
      <w:r>
        <w:t>CHAPTER OVERVIEW</w:t>
      </w:r>
    </w:p>
    <w:p>
      <w:pPr/>
      <w:r>
        <w:rPr>
          <w:i w:val="0"/>
        </w:rPr>
        <w:t>Exodus 12 is the central Passover chapter. Judgment threatens the firstborn throughout Egypt, and Israel too must respond to a divinely appointed sign: the lamb is selected, its blood applied, the meal eaten in readiness, and the household remains inside the place of safety.</w:t>
      </w:r>
    </w:p>
    <w:p>
      <w:pPr/>
      <w:r>
        <w:rPr>
          <w:i w:val="0"/>
        </w:rPr>
        <w:t>Deliverance is then turned into memorial. Redemption creates a new beginning, demands separation from old leaven, must be explained to children, and establishes covenant participation under one law.</w:t>
      </w:r>
    </w:p>
    <w:p>
      <w:pPr>
        <w:pStyle w:val="Heading1"/>
      </w:pPr>
      <w:r>
        <w:t>THE PASSOVER INSTITUTED — EXODUS 12:1–13</w:t>
      </w:r>
    </w:p>
    <w:p>
      <w:pPr>
        <w:pStyle w:val="Heading2"/>
      </w:pPr>
      <w:r>
        <w:t>Exodus 12:1–5 — new month and unblemished animal</w:t>
      </w:r>
    </w:p>
    <w:p>
      <w:pPr/>
      <w:r>
        <w:rPr>
          <w:i w:val="0"/>
        </w:rPr>
        <w:t>This month becomes the beginning of Israel’s sacred year. Exodus 13:4 calls it Abib; the later name Nisan appears after the exile. Redemption marks a new beginning.</w:t>
      </w:r>
    </w:p>
    <w:p>
      <w:pPr/>
      <w:r>
        <w:rPr>
          <w:i w:val="0"/>
        </w:rPr>
        <w:t>On the tenth day each household selects a seh from sheep or goats. It must be a male, one year old, and without blemish. First Peter 1:19 and 1 Corinthians 5:7 explicitly develop the Christological Passover-lamb connection.</w:t>
      </w:r>
    </w:p>
    <w:p>
      <w:pPr>
        <w:pStyle w:val="Heading2"/>
      </w:pPr>
      <w:r>
        <w:t>Exodus 12:6 — “between the evenings”</w:t>
      </w:r>
    </w:p>
    <w:p>
      <w:pPr/>
      <w:r>
        <w:rPr>
          <w:i w:val="0"/>
        </w:rPr>
        <w:t>The animal is kept until the fourteenth and killed bein ha‘arbayim, literally “between the evenings.” The expression has been interpreted within Jewish tradition as late afternoon/twilight, but the Hebrew phrase does not settle every later calendrical debate.</w:t>
      </w:r>
    </w:p>
    <w:p>
      <w:pPr/>
      <w:r>
        <w:rPr>
          <w:i w:val="0"/>
        </w:rPr>
        <w:t>Mansfield’s exact Wednesday-crucifixion chronology is therefore retained only as a proposed harmonisation, not as a fact established by this verse.</w:t>
      </w:r>
    </w:p>
    <w:p>
      <w:pPr>
        <w:pStyle w:val="Heading2"/>
      </w:pPr>
      <w:r>
        <w:t>Exodus 12:7–11 — blood, meal and readiness</w:t>
      </w:r>
    </w:p>
    <w:p>
      <w:pPr/>
      <w:r>
        <w:rPr>
          <w:i w:val="0"/>
        </w:rPr>
        <w:t>Blood is placed on the two side posts and lintel. The animal is roasted and eaten with unleavened bread and bitter herbs; nothing is kept until morning.</w:t>
      </w:r>
    </w:p>
    <w:p>
      <w:pPr/>
      <w:r>
        <w:rPr>
          <w:i w:val="0"/>
        </w:rPr>
        <w:t>Israel eats with loins girded, sandals on and staff in hand: “it is Yahweh’s passover.” The people protected by the blood must also be ready to leave Egypt.</w:t>
      </w:r>
    </w:p>
    <w:p>
      <w:pPr>
        <w:pStyle w:val="Heading2"/>
      </w:pPr>
      <w:r>
        <w:t>Exodus 12:12–13 — “when I see the blood”</w:t>
      </w:r>
    </w:p>
    <w:p>
      <w:pPr/>
      <w:r>
        <w:rPr>
          <w:i w:val="0"/>
        </w:rPr>
        <w:t>Yahweh will strike Egypt’s firstborn and execute judgment against Egypt’s gods. The blood is a sign: “when I see the blood, I will pass over you.”</w:t>
      </w:r>
    </w:p>
    <w:p>
      <w:pPr/>
      <w:r>
        <w:rPr>
          <w:i w:val="0"/>
        </w:rPr>
        <w:t>Pasach is associated with sparing/protective passing over; Isaiah 31:5 uses the same verb in a guarding/delivering context. The secure point is Yahweh’s protective action at the blood-marked doorway.</w:t>
      </w:r>
    </w:p>
    <w:p>
      <w:pPr>
        <w:pStyle w:val="Heading1"/>
      </w:pPr>
      <w:r>
        <w:t>MEMORIAL AND UNLEAVENED BREAD — EXODUS 12:14–28</w:t>
      </w:r>
    </w:p>
    <w:p>
      <w:pPr>
        <w:pStyle w:val="Heading2"/>
      </w:pPr>
      <w:r>
        <w:t>Exodus 12:14–20 — memorial and leaven removed</w:t>
      </w:r>
    </w:p>
    <w:p>
      <w:pPr/>
      <w:r>
        <w:rPr>
          <w:i w:val="0"/>
        </w:rPr>
        <w:t>The day becomes a memorial followed by seven days of unleavened bread. First Corinthians 5:7–8 explicitly uses Passover and removal of leaven as a moral figure of putting away corruption.</w:t>
      </w:r>
    </w:p>
    <w:p>
      <w:pPr/>
      <w:r>
        <w:rPr>
          <w:i w:val="0"/>
        </w:rPr>
        <w:t>The one-night Passover sacrifice and seven-day Feast of Unleavened Bread are distinct but closely joined.</w:t>
      </w:r>
    </w:p>
    <w:p>
      <w:pPr>
        <w:pStyle w:val="Heading2"/>
      </w:pPr>
      <w:r>
        <w:t>Exodus 12:21–23 — hyssop and staying inside</w:t>
      </w:r>
    </w:p>
    <w:p>
      <w:pPr/>
      <w:r>
        <w:rPr>
          <w:i w:val="0"/>
        </w:rPr>
        <w:t>Blood is applied with hyssop, and no one may leave the house until morning. Yahweh does not permit the destroyer to enter the protected doorway.</w:t>
      </w:r>
    </w:p>
    <w:p>
      <w:pPr/>
      <w:r>
        <w:rPr>
          <w:i w:val="0"/>
        </w:rPr>
        <w:t>Hebrews 11:28 interprets Moses’ Passover observance and sprinkling of blood as faith. Protection involves the appointed sign and obedience to the appointed refuge.</w:t>
      </w:r>
    </w:p>
    <w:p>
      <w:pPr>
        <w:pStyle w:val="Heading2"/>
      </w:pPr>
      <w:r>
        <w:t>Exodus 12:24–28 — teach the children</w:t>
      </w:r>
    </w:p>
    <w:p>
      <w:pPr/>
      <w:r>
        <w:rPr>
          <w:i w:val="0"/>
        </w:rPr>
        <w:t>When children ask what the service means, parents must explain the historical deliverance. The people bow, worship and do as Yahweh commanded. Ritual without interpreted memory would fail the command’s educational purpose.</w:t>
      </w:r>
    </w:p>
    <w:p>
      <w:pPr>
        <w:pStyle w:val="Heading1"/>
      </w:pPr>
      <w:r>
        <w:t>THE FIRSTBORN SLAIN AND ISRAEL RELEASED — EXODUS 12:29–39</w:t>
      </w:r>
    </w:p>
    <w:p>
      <w:pPr>
        <w:pStyle w:val="Heading2"/>
      </w:pPr>
      <w:r>
        <w:t>Exodus 12:29–33 — midnight reversal</w:t>
      </w:r>
    </w:p>
    <w:p>
      <w:pPr/>
      <w:r>
        <w:rPr>
          <w:i w:val="0"/>
        </w:rPr>
        <w:t>At midnight Egypt’s firstborn die and a great cry rises. Pharaoh orders Israel to depart, take flocks and herds, serve Yahweh, and asks for blessing. The Egyptians urgently press Israel to leave.</w:t>
      </w:r>
    </w:p>
    <w:p>
      <w:pPr>
        <w:pStyle w:val="Heading2"/>
      </w:pPr>
      <w:r>
        <w:t>Exodus 12:34–36 — asked wealth and spoil</w:t>
      </w:r>
    </w:p>
    <w:p>
      <w:pPr/>
      <w:r>
        <w:rPr>
          <w:i w:val="0"/>
        </w:rPr>
        <w:t>Israel carries unleavened dough and asks for silver, gold and clothing. Yahweh gives favour and they spoil Egypt. Sha’al again means ask/request rather than temporary borrowing.</w:t>
      </w:r>
    </w:p>
    <w:p>
      <w:pPr>
        <w:pStyle w:val="Heading2"/>
      </w:pPr>
      <w:r>
        <w:t>Exodus 12:37–39 — a great host departs</w:t>
      </w:r>
    </w:p>
    <w:p>
      <w:pPr/>
      <w:r>
        <w:rPr>
          <w:i w:val="0"/>
        </w:rPr>
        <w:t>About six hundred thousand adult males on foot, besides dependants, depart with a mixed multitude and livestock. The textual number is large; later demographic reconstruction is a separate question.</w:t>
      </w:r>
    </w:p>
    <w:p>
      <w:pPr/>
      <w:r>
        <w:rPr>
          <w:i w:val="0"/>
        </w:rPr>
        <w:t>The dough remains unleavened because the people are thrust out and cannot delay.</w:t>
      </w:r>
    </w:p>
    <w:p>
      <w:pPr>
        <w:pStyle w:val="Heading1"/>
      </w:pPr>
      <w:r>
        <w:t>THE 430 YEARS AND COVENANT PARTICIPATION — EXODUS 12:40–51</w:t>
      </w:r>
    </w:p>
    <w:p>
      <w:pPr>
        <w:pStyle w:val="Heading2"/>
      </w:pPr>
      <w:r>
        <w:t>Exodus 12:40–42 — 430 years</w:t>
      </w:r>
    </w:p>
    <w:p>
      <w:pPr/>
      <w:r>
        <w:rPr>
          <w:i w:val="0"/>
        </w:rPr>
        <w:t>The Masoretic Text speaks of Israel’s sojourning associated with Egypt as 430 years. The Septuagint and Samaritan Pentateuch include Canaan in the wording, while Galatians 3:17 places 430 years between covenant promise and law.</w:t>
      </w:r>
    </w:p>
    <w:p>
      <w:pPr/>
      <w:r>
        <w:rPr>
          <w:i w:val="0"/>
        </w:rPr>
        <w:t>Mansfield’s wider patriarchal-sojourn understanding therefore has ancient textual and New Testament support, but the textual traditions must be stated openly rather than treated as identical.</w:t>
      </w:r>
    </w:p>
    <w:p>
      <w:pPr>
        <w:pStyle w:val="Heading2"/>
      </w:pPr>
      <w:r>
        <w:t>Exodus 12:43–49 — circumcision and one law</w:t>
      </w:r>
    </w:p>
    <w:p>
      <w:pPr/>
      <w:r>
        <w:rPr>
          <w:i w:val="0"/>
        </w:rPr>
        <w:t>An uncircumcised foreigner may not eat Passover. A sojourner may enter covenant participation through circumcision; then one torah applies to native and admitted stranger.</w:t>
      </w:r>
    </w:p>
    <w:p>
      <w:pPr/>
      <w:r>
        <w:rPr>
          <w:i w:val="0"/>
        </w:rPr>
        <w:t>This is an important early Exodus use of torah, but not the first occurrence of the Torah root in Scripture: Genesis 26:5 already uses torotai, “my laws.”</w:t>
      </w:r>
    </w:p>
    <w:p>
      <w:pPr>
        <w:pStyle w:val="Heading2"/>
      </w:pPr>
      <w:r>
        <w:t>Exodus 12:46–51 — no bone broken; Yahweh’s hosts</w:t>
      </w:r>
    </w:p>
    <w:p>
      <w:pPr/>
      <w:r>
        <w:rPr>
          <w:i w:val="0"/>
        </w:rPr>
        <w:t>No bone of the Passover animal is to be broken. John 19:36 explicitly applies this feature to Jesus.</w:t>
      </w:r>
    </w:p>
    <w:p>
      <w:pPr/>
      <w:r>
        <w:rPr>
          <w:i w:val="0"/>
        </w:rPr>
        <w:t>The chapter closes with Yahweh bringing Israel out “by their armies/hosts”: the slaves depart as an organised covenant people.</w:t>
      </w:r>
    </w:p>
    <w:p>
      <w:pPr>
        <w:pStyle w:val="Heading1"/>
      </w:pPr>
      <w:r>
        <w:t>PRINCIPAL THEMES</w:t>
      </w:r>
    </w:p>
    <w:p>
      <w:pPr>
        <w:ind w:left="259" w:hanging="202"/>
      </w:pPr>
      <w:r>
        <w:rPr>
          <w:b/>
        </w:rPr>
        <w:t xml:space="preserve">• </w:t>
      </w:r>
      <w:r>
        <w:t>Redemption creates a new beginning.</w:t>
      </w:r>
    </w:p>
    <w:p>
      <w:pPr>
        <w:ind w:left="259" w:hanging="202"/>
      </w:pPr>
      <w:r>
        <w:rPr>
          <w:b/>
        </w:rPr>
        <w:t xml:space="preserve">• </w:t>
      </w:r>
      <w:r>
        <w:t>The unblemished Passover animal is explicitly connected with Christ in the New Testament.</w:t>
      </w:r>
    </w:p>
    <w:p>
      <w:pPr>
        <w:ind w:left="259" w:hanging="202"/>
      </w:pPr>
      <w:r>
        <w:rPr>
          <w:b/>
        </w:rPr>
        <w:t xml:space="preserve">• </w:t>
      </w:r>
      <w:r>
        <w:t>Protection is under the blood within the appointed place of safety.</w:t>
      </w:r>
    </w:p>
    <w:p>
      <w:pPr>
        <w:ind w:left="259" w:hanging="202"/>
      </w:pPr>
      <w:r>
        <w:rPr>
          <w:b/>
        </w:rPr>
        <w:t xml:space="preserve">• </w:t>
      </w:r>
      <w:r>
        <w:t>Redemption requires readiness to leave Egypt.</w:t>
      </w:r>
    </w:p>
    <w:p>
      <w:pPr>
        <w:ind w:left="259" w:hanging="202"/>
      </w:pPr>
      <w:r>
        <w:rPr>
          <w:b/>
        </w:rPr>
        <w:t xml:space="preserve">• </w:t>
      </w:r>
      <w:r>
        <w:t>Unleavened bread becomes a moral figure of removing corruption.</w:t>
      </w:r>
    </w:p>
    <w:p>
      <w:pPr>
        <w:ind w:left="259" w:hanging="202"/>
      </w:pPr>
      <w:r>
        <w:rPr>
          <w:b/>
        </w:rPr>
        <w:t xml:space="preserve">• </w:t>
      </w:r>
      <w:r>
        <w:t>Passover must be interpreted to children.</w:t>
      </w:r>
    </w:p>
    <w:p>
      <w:pPr>
        <w:ind w:left="259" w:hanging="202"/>
      </w:pPr>
      <w:r>
        <w:rPr>
          <w:b/>
        </w:rPr>
        <w:t xml:space="preserve">• </w:t>
      </w:r>
      <w:r>
        <w:t>The 430-year wording requires transparent attention to textual traditions.</w:t>
      </w:r>
    </w:p>
    <w:p>
      <w:pPr>
        <w:ind w:left="259" w:hanging="202"/>
      </w:pPr>
      <w:r>
        <w:rPr>
          <w:b/>
        </w:rPr>
        <w:t xml:space="preserve">• </w:t>
      </w:r>
      <w:r>
        <w:t>One covenant law governs native and admitted stranger.</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Ex. 12:2</w:t>
            </w:r>
          </w:p>
        </w:tc>
        <w:tc>
          <w:tcPr>
            <w:tcW w:type="dxa" w:w="3552"/>
            <w:vAlign w:val="top"/>
          </w:tcPr>
          <w:p>
            <w:pPr>
              <w:spacing w:after="0"/>
            </w:pPr>
            <w:r>
              <w:rPr>
                <w:rFonts w:ascii="Times New Roman" w:hAnsi="Times New Roman"/>
                <w:sz w:val="15"/>
              </w:rPr>
              <w:t>Abib / later Nisan</w:t>
            </w:r>
          </w:p>
        </w:tc>
        <w:tc>
          <w:tcPr>
            <w:tcW w:type="dxa" w:w="3552"/>
            <w:vAlign w:val="top"/>
          </w:tcPr>
          <w:p>
            <w:pPr>
              <w:spacing w:after="0"/>
            </w:pPr>
            <w:r>
              <w:rPr>
                <w:rFonts w:ascii="Times New Roman" w:hAnsi="Times New Roman"/>
                <w:sz w:val="15"/>
              </w:rPr>
              <w:t>First sacred month; redemption marks new beginning.</w:t>
            </w:r>
          </w:p>
        </w:tc>
      </w:tr>
      <w:tr>
        <w:tc>
          <w:tcPr>
            <w:tcW w:type="dxa" w:w="3552"/>
            <w:vAlign w:val="top"/>
          </w:tcPr>
          <w:p>
            <w:pPr>
              <w:spacing w:after="0"/>
            </w:pPr>
            <w:r>
              <w:rPr>
                <w:rFonts w:ascii="Times New Roman" w:hAnsi="Times New Roman"/>
                <w:sz w:val="15"/>
              </w:rPr>
              <w:t>Ex. 12:5</w:t>
            </w:r>
          </w:p>
        </w:tc>
        <w:tc>
          <w:tcPr>
            <w:tcW w:type="dxa" w:w="3552"/>
            <w:vAlign w:val="top"/>
          </w:tcPr>
          <w:p>
            <w:pPr>
              <w:spacing w:after="0"/>
            </w:pPr>
            <w:r>
              <w:rPr>
                <w:rFonts w:ascii="Times New Roman" w:hAnsi="Times New Roman"/>
                <w:sz w:val="15"/>
              </w:rPr>
              <w:t>tamim</w:t>
            </w:r>
          </w:p>
        </w:tc>
        <w:tc>
          <w:tcPr>
            <w:tcW w:type="dxa" w:w="3552"/>
            <w:vAlign w:val="top"/>
          </w:tcPr>
          <w:p>
            <w:pPr>
              <w:spacing w:after="0"/>
            </w:pPr>
            <w:r>
              <w:rPr>
                <w:rFonts w:ascii="Times New Roman" w:hAnsi="Times New Roman"/>
                <w:sz w:val="15"/>
              </w:rPr>
              <w:t>Without blemish; 1 Pet. 1:19 and 1 Cor. 5:7 support Christological reading.</w:t>
            </w:r>
          </w:p>
        </w:tc>
      </w:tr>
      <w:tr>
        <w:tc>
          <w:tcPr>
            <w:tcW w:type="dxa" w:w="3552"/>
            <w:vAlign w:val="top"/>
          </w:tcPr>
          <w:p>
            <w:pPr>
              <w:spacing w:after="0"/>
            </w:pPr>
            <w:r>
              <w:rPr>
                <w:rFonts w:ascii="Times New Roman" w:hAnsi="Times New Roman"/>
                <w:sz w:val="15"/>
              </w:rPr>
              <w:t>Ex. 12:6</w:t>
            </w:r>
          </w:p>
        </w:tc>
        <w:tc>
          <w:tcPr>
            <w:tcW w:type="dxa" w:w="3552"/>
            <w:vAlign w:val="top"/>
          </w:tcPr>
          <w:p>
            <w:pPr>
              <w:spacing w:after="0"/>
            </w:pPr>
            <w:r>
              <w:rPr>
                <w:rFonts w:ascii="Times New Roman" w:hAnsi="Times New Roman"/>
                <w:sz w:val="15"/>
              </w:rPr>
              <w:t>bein ha‘arbayim</w:t>
            </w:r>
          </w:p>
        </w:tc>
        <w:tc>
          <w:tcPr>
            <w:tcW w:type="dxa" w:w="3552"/>
            <w:vAlign w:val="top"/>
          </w:tcPr>
          <w:p>
            <w:pPr>
              <w:spacing w:after="0"/>
            </w:pPr>
            <w:r>
              <w:rPr>
                <w:rFonts w:ascii="Times New Roman" w:hAnsi="Times New Roman"/>
                <w:sz w:val="15"/>
              </w:rPr>
              <w:t>“Between the evenings”; precise clock-time debated.</w:t>
            </w:r>
          </w:p>
        </w:tc>
      </w:tr>
      <w:tr>
        <w:tc>
          <w:tcPr>
            <w:tcW w:type="dxa" w:w="3552"/>
            <w:vAlign w:val="top"/>
          </w:tcPr>
          <w:p>
            <w:pPr>
              <w:spacing w:after="0"/>
            </w:pPr>
            <w:r>
              <w:rPr>
                <w:rFonts w:ascii="Times New Roman" w:hAnsi="Times New Roman"/>
                <w:sz w:val="15"/>
              </w:rPr>
              <w:t>Ex. 12:13</w:t>
            </w:r>
          </w:p>
        </w:tc>
        <w:tc>
          <w:tcPr>
            <w:tcW w:type="dxa" w:w="3552"/>
            <w:vAlign w:val="top"/>
          </w:tcPr>
          <w:p>
            <w:pPr>
              <w:spacing w:after="0"/>
            </w:pPr>
            <w:r>
              <w:rPr>
                <w:rFonts w:ascii="Times New Roman" w:hAnsi="Times New Roman"/>
                <w:sz w:val="15"/>
              </w:rPr>
              <w:t>pasach</w:t>
            </w:r>
          </w:p>
        </w:tc>
        <w:tc>
          <w:tcPr>
            <w:tcW w:type="dxa" w:w="3552"/>
            <w:vAlign w:val="top"/>
          </w:tcPr>
          <w:p>
            <w:pPr>
              <w:spacing w:after="0"/>
            </w:pPr>
            <w:r>
              <w:rPr>
                <w:rFonts w:ascii="Times New Roman" w:hAnsi="Times New Roman"/>
                <w:sz w:val="15"/>
              </w:rPr>
              <w:t>Pass over/spare/protect; compare Isa. 31:5.</w:t>
            </w:r>
          </w:p>
        </w:tc>
      </w:tr>
      <w:tr>
        <w:tc>
          <w:tcPr>
            <w:tcW w:type="dxa" w:w="3552"/>
            <w:vAlign w:val="top"/>
          </w:tcPr>
          <w:p>
            <w:pPr>
              <w:spacing w:after="0"/>
            </w:pPr>
            <w:r>
              <w:rPr>
                <w:rFonts w:ascii="Times New Roman" w:hAnsi="Times New Roman"/>
                <w:sz w:val="15"/>
              </w:rPr>
              <w:t>Ex. 12:15–20</w:t>
            </w:r>
          </w:p>
        </w:tc>
        <w:tc>
          <w:tcPr>
            <w:tcW w:type="dxa" w:w="3552"/>
            <w:vAlign w:val="top"/>
          </w:tcPr>
          <w:p>
            <w:pPr>
              <w:spacing w:after="0"/>
            </w:pPr>
            <w:r>
              <w:rPr>
                <w:rFonts w:ascii="Times New Roman" w:hAnsi="Times New Roman"/>
                <w:sz w:val="15"/>
              </w:rPr>
              <w:t>1 Cor. 5:7–8</w:t>
            </w:r>
          </w:p>
        </w:tc>
        <w:tc>
          <w:tcPr>
            <w:tcW w:type="dxa" w:w="3552"/>
            <w:vAlign w:val="top"/>
          </w:tcPr>
          <w:p>
            <w:pPr>
              <w:spacing w:after="0"/>
            </w:pPr>
            <w:r>
              <w:rPr>
                <w:rFonts w:ascii="Times New Roman" w:hAnsi="Times New Roman"/>
                <w:sz w:val="15"/>
              </w:rPr>
              <w:t>Paul explicitly uses unleavened-bread imagery.</w:t>
            </w:r>
          </w:p>
        </w:tc>
      </w:tr>
      <w:tr>
        <w:tc>
          <w:tcPr>
            <w:tcW w:type="dxa" w:w="3552"/>
            <w:vAlign w:val="top"/>
          </w:tcPr>
          <w:p>
            <w:pPr>
              <w:spacing w:after="0"/>
            </w:pPr>
            <w:r>
              <w:rPr>
                <w:rFonts w:ascii="Times New Roman" w:hAnsi="Times New Roman"/>
                <w:sz w:val="15"/>
              </w:rPr>
              <w:t>Ex. 12:22–23</w:t>
            </w:r>
          </w:p>
        </w:tc>
        <w:tc>
          <w:tcPr>
            <w:tcW w:type="dxa" w:w="3552"/>
            <w:vAlign w:val="top"/>
          </w:tcPr>
          <w:p>
            <w:pPr>
              <w:spacing w:after="0"/>
            </w:pPr>
            <w:r>
              <w:rPr>
                <w:rFonts w:ascii="Times New Roman" w:hAnsi="Times New Roman"/>
                <w:sz w:val="15"/>
              </w:rPr>
              <w:t>Heb. 11:28</w:t>
            </w:r>
          </w:p>
        </w:tc>
        <w:tc>
          <w:tcPr>
            <w:tcW w:type="dxa" w:w="3552"/>
            <w:vAlign w:val="top"/>
          </w:tcPr>
          <w:p>
            <w:pPr>
              <w:spacing w:after="0"/>
            </w:pPr>
            <w:r>
              <w:rPr>
                <w:rFonts w:ascii="Times New Roman" w:hAnsi="Times New Roman"/>
                <w:sz w:val="15"/>
              </w:rPr>
              <w:t>Passover and blood application interpreted as faith.</w:t>
            </w:r>
          </w:p>
        </w:tc>
      </w:tr>
      <w:tr>
        <w:tc>
          <w:tcPr>
            <w:tcW w:type="dxa" w:w="3552"/>
            <w:vAlign w:val="top"/>
          </w:tcPr>
          <w:p>
            <w:pPr>
              <w:spacing w:after="0"/>
            </w:pPr>
            <w:r>
              <w:rPr>
                <w:rFonts w:ascii="Times New Roman" w:hAnsi="Times New Roman"/>
                <w:sz w:val="15"/>
              </w:rPr>
              <w:t>Ex. 12:35–36</w:t>
            </w:r>
          </w:p>
        </w:tc>
        <w:tc>
          <w:tcPr>
            <w:tcW w:type="dxa" w:w="3552"/>
            <w:vAlign w:val="top"/>
          </w:tcPr>
          <w:p>
            <w:pPr>
              <w:spacing w:after="0"/>
            </w:pPr>
            <w:r>
              <w:rPr>
                <w:rFonts w:ascii="Times New Roman" w:hAnsi="Times New Roman"/>
                <w:sz w:val="15"/>
              </w:rPr>
              <w:t>sha’al</w:t>
            </w:r>
          </w:p>
        </w:tc>
        <w:tc>
          <w:tcPr>
            <w:tcW w:type="dxa" w:w="3552"/>
            <w:vAlign w:val="top"/>
          </w:tcPr>
          <w:p>
            <w:pPr>
              <w:spacing w:after="0"/>
            </w:pPr>
            <w:r>
              <w:rPr>
                <w:rFonts w:ascii="Times New Roman" w:hAnsi="Times New Roman"/>
                <w:sz w:val="15"/>
              </w:rPr>
              <w:t>Ask/request; not temporary borrowing.</w:t>
            </w:r>
          </w:p>
        </w:tc>
      </w:tr>
      <w:tr>
        <w:tc>
          <w:tcPr>
            <w:tcW w:type="dxa" w:w="3552"/>
            <w:vAlign w:val="top"/>
          </w:tcPr>
          <w:p>
            <w:pPr>
              <w:spacing w:after="0"/>
            </w:pPr>
            <w:r>
              <w:rPr>
                <w:rFonts w:ascii="Times New Roman" w:hAnsi="Times New Roman"/>
                <w:sz w:val="15"/>
              </w:rPr>
              <w:t>Ex. 12:40</w:t>
            </w:r>
          </w:p>
        </w:tc>
        <w:tc>
          <w:tcPr>
            <w:tcW w:type="dxa" w:w="3552"/>
            <w:vAlign w:val="top"/>
          </w:tcPr>
          <w:p>
            <w:pPr>
              <w:spacing w:after="0"/>
            </w:pPr>
            <w:r>
              <w:rPr>
                <w:rFonts w:ascii="Times New Roman" w:hAnsi="Times New Roman"/>
                <w:sz w:val="15"/>
              </w:rPr>
              <w:t>430 years</w:t>
            </w:r>
          </w:p>
        </w:tc>
        <w:tc>
          <w:tcPr>
            <w:tcW w:type="dxa" w:w="3552"/>
            <w:vAlign w:val="top"/>
          </w:tcPr>
          <w:p>
            <w:pPr>
              <w:spacing w:after="0"/>
            </w:pPr>
            <w:r>
              <w:rPr>
                <w:rFonts w:ascii="Times New Roman" w:hAnsi="Times New Roman"/>
                <w:sz w:val="15"/>
              </w:rPr>
              <w:t>MT differs from LXX/Samaritan; Gal. 3:17 is relevant.</w:t>
            </w:r>
          </w:p>
        </w:tc>
      </w:tr>
      <w:tr>
        <w:tc>
          <w:tcPr>
            <w:tcW w:type="dxa" w:w="3552"/>
            <w:vAlign w:val="top"/>
          </w:tcPr>
          <w:p>
            <w:pPr>
              <w:spacing w:after="0"/>
            </w:pPr>
            <w:r>
              <w:rPr>
                <w:rFonts w:ascii="Times New Roman" w:hAnsi="Times New Roman"/>
                <w:sz w:val="15"/>
              </w:rPr>
              <w:t>Ex. 12:46</w:t>
            </w:r>
          </w:p>
        </w:tc>
        <w:tc>
          <w:tcPr>
            <w:tcW w:type="dxa" w:w="3552"/>
            <w:vAlign w:val="top"/>
          </w:tcPr>
          <w:p>
            <w:pPr>
              <w:spacing w:after="0"/>
            </w:pPr>
            <w:r>
              <w:rPr>
                <w:rFonts w:ascii="Times New Roman" w:hAnsi="Times New Roman"/>
                <w:sz w:val="15"/>
              </w:rPr>
              <w:t>John 19:36</w:t>
            </w:r>
          </w:p>
        </w:tc>
        <w:tc>
          <w:tcPr>
            <w:tcW w:type="dxa" w:w="3552"/>
            <w:vAlign w:val="top"/>
          </w:tcPr>
          <w:p>
            <w:pPr>
              <w:spacing w:after="0"/>
            </w:pPr>
            <w:r>
              <w:rPr>
                <w:rFonts w:ascii="Times New Roman" w:hAnsi="Times New Roman"/>
                <w:sz w:val="15"/>
              </w:rPr>
              <w:t>Unbroken-bone feature applied to Christ.</w:t>
            </w:r>
          </w:p>
        </w:tc>
      </w:tr>
      <w:tr>
        <w:tc>
          <w:tcPr>
            <w:tcW w:type="dxa" w:w="3552"/>
            <w:vAlign w:val="top"/>
          </w:tcPr>
          <w:p>
            <w:pPr>
              <w:spacing w:after="0"/>
            </w:pPr>
            <w:r>
              <w:rPr>
                <w:rFonts w:ascii="Times New Roman" w:hAnsi="Times New Roman"/>
                <w:sz w:val="15"/>
              </w:rPr>
              <w:t>Ex. 12:49</w:t>
            </w:r>
          </w:p>
        </w:tc>
        <w:tc>
          <w:tcPr>
            <w:tcW w:type="dxa" w:w="3552"/>
            <w:vAlign w:val="top"/>
          </w:tcPr>
          <w:p>
            <w:pPr>
              <w:spacing w:after="0"/>
            </w:pPr>
            <w:r>
              <w:rPr>
                <w:rFonts w:ascii="Times New Roman" w:hAnsi="Times New Roman"/>
                <w:sz w:val="15"/>
              </w:rPr>
              <w:t>torah</w:t>
            </w:r>
          </w:p>
        </w:tc>
        <w:tc>
          <w:tcPr>
            <w:tcW w:type="dxa" w:w="3552"/>
            <w:vAlign w:val="top"/>
          </w:tcPr>
          <w:p>
            <w:pPr>
              <w:spacing w:after="0"/>
            </w:pPr>
            <w:r>
              <w:rPr>
                <w:rFonts w:ascii="Times New Roman" w:hAnsi="Times New Roman"/>
                <w:sz w:val="15"/>
              </w:rPr>
              <w:t>Not first Torah-root occurrence; Gen. 26:5 precedes it.</w:t>
            </w:r>
          </w:p>
        </w:tc>
      </w:tr>
    </w:tbl>
    <w:p>
      <w:pPr>
        <w:pStyle w:val="Heading1"/>
      </w:pPr>
      <w:r>
        <w:t>RESIDUAL UNCERTAINTIES</w:t>
      </w:r>
    </w:p>
    <w:p>
      <w:pPr/>
      <w:r>
        <w:rPr>
          <w:i w:val="0"/>
        </w:rPr>
        <w:t>The timing implied by “between the evenings” and detailed crucifixion-calendar harmonisations remain disputed. Mansfield’s Wednesday-crucifixion reconstruction is not presented as settled. The 430-year wording differs among major textual traditions. Exact demographic models for the departing population lie beyond the secure HPB notes.</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sz w:val="16"/>
      </w:rPr>
      <w:t>H. P. MANSFIELD BIBLE NOTES  •  EXODUS 12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0"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0"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