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13</w:t>
      </w:r>
    </w:p>
    <w:p>
      <w:pPr>
        <w:pStyle w:val="Subtitle"/>
      </w:pPr>
      <w:r>
        <w:t>THE FIRSTBORN CONSECRATED • REMEMBER THIS DAY • TEACH THE CHILDREN • JOSEPH’S BONES • THE WILDERNESS ROUTE • CLOUD AND FIRE</w:t>
      </w:r>
    </w:p>
    <w:p>
      <w:pPr/>
      <w:r>
        <w:rPr>
          <w:i/>
        </w:rPr>
        <w:t>H. P. Mansfield Bible notes — checked and arranged in verse-by-verse Expositor style</w:t>
      </w:r>
    </w:p>
    <w:p>
      <w:pPr/>
      <w:r>
        <w:rPr>
          <w:i w:val="0"/>
        </w:rPr>
        <w:t>Source: HPB 02-Gen42-Lev11.pdf, principally the Exodus 13 photographed pages</w:t>
      </w:r>
    </w:p>
    <w:p>
      <w:pPr>
        <w:pStyle w:val="Heading1"/>
      </w:pPr>
      <w:r>
        <w:t>CHAPTER OVERVIEW</w:t>
      </w:r>
    </w:p>
    <w:p>
      <w:pPr/>
      <w:r>
        <w:rPr>
          <w:i w:val="0"/>
        </w:rPr>
        <w:t>Exodus 13 teaches the redeemed nation how to remember and live out deliverance. The spared firstborn now belong to Yahweh; redemption produces consecration.</w:t>
      </w:r>
    </w:p>
    <w:p>
      <w:pPr/>
      <w:r>
        <w:rPr>
          <w:i w:val="0"/>
        </w:rPr>
        <w:t>The chapter then moves from memorial to guidance. God deliberately avoids the shortest military route, Joseph’s bones accompany the people as a pledge of covenant faith, and the pillar of cloud and fire visibly leads the nation.</w:t>
      </w:r>
    </w:p>
    <w:p>
      <w:pPr>
        <w:pStyle w:val="Heading1"/>
      </w:pPr>
      <w:r>
        <w:t>THE FIRSTBORN AND MEMORIAL — EXODUS 13:1–10</w:t>
      </w:r>
    </w:p>
    <w:p>
      <w:pPr>
        <w:pStyle w:val="Heading2"/>
      </w:pPr>
      <w:r>
        <w:t>Exodus 13:1–2 — sanctify the firstborn</w:t>
      </w:r>
    </w:p>
    <w:p>
      <w:pPr/>
      <w:r>
        <w:rPr>
          <w:i w:val="0"/>
        </w:rPr>
        <w:t>Every firstborn male opening the womb belongs to Yahweh. Qadash means set apart as holy for Divine use. Those spared at Passover are claimed by the God who spared them.</w:t>
      </w:r>
    </w:p>
    <w:p>
      <w:pPr>
        <w:pStyle w:val="Heading2"/>
      </w:pPr>
      <w:r>
        <w:t>Exodus 13:3–7 — remember the day</w:t>
      </w:r>
    </w:p>
    <w:p>
      <w:pPr/>
      <w:r>
        <w:rPr>
          <w:i w:val="0"/>
        </w:rPr>
        <w:t>Israel must remember the departure from the house of bondage and keep the unleavened-bread observance when established in the promised land. Abib is named as the month of deliverance.</w:t>
      </w:r>
    </w:p>
    <w:p>
      <w:pPr>
        <w:pStyle w:val="Heading2"/>
      </w:pPr>
      <w:r>
        <w:t>Exodus 13:8–10 — “what Yahweh did unto me”</w:t>
      </w:r>
    </w:p>
    <w:p>
      <w:pPr/>
      <w:r>
        <w:rPr>
          <w:i w:val="0"/>
        </w:rPr>
        <w:t>Parents must explain the feast personally: “because of that which Yahweh did unto me.” Each generation is taught to identify with covenant redemption rather than treat it as remote antiquity.</w:t>
      </w:r>
    </w:p>
    <w:p>
      <w:pPr/>
      <w:r>
        <w:rPr>
          <w:i w:val="0"/>
        </w:rPr>
        <w:t>The memorial on hand and between the eyes expresses remembered truth shaping action and thought so that Yahweh’s law is in the mouth. Whether later phylactery practice is intended literally here is debated.</w:t>
      </w:r>
    </w:p>
    <w:p>
      <w:pPr>
        <w:pStyle w:val="Heading1"/>
      </w:pPr>
      <w:r>
        <w:t>FIRSTLINGS AND REDEMPTION — EXODUS 13:11–16</w:t>
      </w:r>
    </w:p>
    <w:p>
      <w:pPr>
        <w:pStyle w:val="Heading2"/>
      </w:pPr>
      <w:r>
        <w:t>Exodus 13:11–13 — redeemed or relinquished</w:t>
      </w:r>
    </w:p>
    <w:p>
      <w:pPr/>
      <w:r>
        <w:rPr>
          <w:i w:val="0"/>
        </w:rPr>
        <w:t>Firstborn clean animals are set apart. A firstborn donkey is redeemed by a lamb or its neck is broken; human firstborn sons are redeemed, not sacrificed.</w:t>
      </w:r>
    </w:p>
    <w:p>
      <w:pPr/>
      <w:r>
        <w:rPr>
          <w:i w:val="0"/>
        </w:rPr>
        <w:t>The passage therefore distinguishes Israel’s firstborn consecration sharply from human sacrifice.</w:t>
      </w:r>
    </w:p>
    <w:p>
      <w:pPr>
        <w:pStyle w:val="Heading2"/>
      </w:pPr>
      <w:r>
        <w:t>Exodus 13:14–16 — “What is this?”</w:t>
      </w:r>
    </w:p>
    <w:p>
      <w:pPr/>
      <w:r>
        <w:rPr>
          <w:i w:val="0"/>
        </w:rPr>
        <w:t>When a son asks the meaning, the answer again recounts Pharaoh’s stubbornness, the death of Egypt’s firstborn and Israel’s deliverance. The memorial is theology through historical explanation.</w:t>
      </w:r>
    </w:p>
    <w:p>
      <w:pPr>
        <w:pStyle w:val="Heading1"/>
      </w:pPr>
      <w:r>
        <w:t>THE ROUTE AND DIVINE GUIDANCE — EXODUS 13:17–22</w:t>
      </w:r>
    </w:p>
    <w:p>
      <w:pPr>
        <w:pStyle w:val="Heading2"/>
      </w:pPr>
      <w:r>
        <w:t>Exodus 13:17–18 — not the nearest road</w:t>
      </w:r>
    </w:p>
    <w:p>
      <w:pPr/>
      <w:r>
        <w:rPr>
          <w:i w:val="0"/>
        </w:rPr>
        <w:t>God does not lead Israel by the nearer Philistine route because immediate war might cause the people to change their mind and return to Egypt. The shortest geographical path is not always the wisest spiritual path.</w:t>
      </w:r>
    </w:p>
    <w:p>
      <w:pPr/>
      <w:r>
        <w:rPr>
          <w:i w:val="0"/>
        </w:rPr>
        <w:t>Israel goes up chamushim. The word can mean armed/equipped or arranged in ordered formation. Older “five in a rank” explanations are speculative.</w:t>
      </w:r>
    </w:p>
    <w:p>
      <w:pPr>
        <w:pStyle w:val="Heading2"/>
      </w:pPr>
      <w:r>
        <w:t>Exodus 13:19 — Joseph’s bones</w:t>
      </w:r>
    </w:p>
    <w:p>
      <w:pPr/>
      <w:r>
        <w:rPr>
          <w:i w:val="0"/>
        </w:rPr>
        <w:t>Moses takes Joseph’s bones in fulfilment of Genesis 50:24–25. Hebrews 11:22 explicitly identifies Joseph’s command concerning his bones as an act of faith.</w:t>
      </w:r>
    </w:p>
    <w:p>
      <w:pPr/>
      <w:r>
        <w:rPr>
          <w:i w:val="0"/>
        </w:rPr>
        <w:t>Joshua 24:32 records the eventual burial at Shechem, completing the long testimony that Egypt was never the promised home.</w:t>
      </w:r>
    </w:p>
    <w:p>
      <w:pPr>
        <w:pStyle w:val="Heading2"/>
      </w:pPr>
      <w:r>
        <w:t>Exodus 13:20 — Succoth and Etham</w:t>
      </w:r>
    </w:p>
    <w:p>
      <w:pPr/>
      <w:r>
        <w:rPr>
          <w:i w:val="0"/>
        </w:rPr>
        <w:t>Israel moves from Succoth to Etham at the edge of the wilderness. Exact modern locations and the resulting route to the sea remain disputed; the exposition should not depend on one map.</w:t>
      </w:r>
    </w:p>
    <w:p>
      <w:pPr>
        <w:pStyle w:val="Heading2"/>
      </w:pPr>
      <w:r>
        <w:t>Exodus 13:21–22 — cloud and fire</w:t>
      </w:r>
    </w:p>
    <w:p>
      <w:pPr/>
      <w:r>
        <w:rPr>
          <w:i w:val="0"/>
        </w:rPr>
        <w:t>Yahweh goes before the people in a pillar of cloud by day and a pillar of fire by night, leading and giving light. Later passages also describe angelic agency in this guidance.</w:t>
      </w:r>
    </w:p>
    <w:p>
      <w:pPr/>
      <w:r>
        <w:rPr>
          <w:i w:val="0"/>
        </w:rPr>
        <w:t>The pillar does not depart: the people who have left Pharaoh now march under Yahweh’s visible direction.</w:t>
      </w:r>
    </w:p>
    <w:p>
      <w:pPr>
        <w:pStyle w:val="Heading1"/>
      </w:pPr>
      <w:r>
        <w:t>PRINCIPAL THEMES</w:t>
      </w:r>
    </w:p>
    <w:p>
      <w:pPr>
        <w:ind w:left="259" w:hanging="202"/>
      </w:pPr>
      <w:r>
        <w:rPr>
          <w:b/>
        </w:rPr>
        <w:t xml:space="preserve">• </w:t>
      </w:r>
      <w:r>
        <w:t>The spared firstborn belongs to Yahweh.</w:t>
      </w:r>
    </w:p>
    <w:p>
      <w:pPr>
        <w:ind w:left="259" w:hanging="202"/>
      </w:pPr>
      <w:r>
        <w:rPr>
          <w:b/>
        </w:rPr>
        <w:t xml:space="preserve">• </w:t>
      </w:r>
      <w:r>
        <w:t>Redemption leads to consecration and remembrance.</w:t>
      </w:r>
    </w:p>
    <w:p>
      <w:pPr>
        <w:ind w:left="259" w:hanging="202"/>
      </w:pPr>
      <w:r>
        <w:rPr>
          <w:b/>
        </w:rPr>
        <w:t xml:space="preserve">• </w:t>
      </w:r>
      <w:r>
        <w:t>Children must be taught the meaning of redemption.</w:t>
      </w:r>
    </w:p>
    <w:p>
      <w:pPr>
        <w:ind w:left="259" w:hanging="202"/>
      </w:pPr>
      <w:r>
        <w:rPr>
          <w:b/>
        </w:rPr>
        <w:t xml:space="preserve">• </w:t>
      </w:r>
      <w:r>
        <w:t>Later generations personally appropriate the Exodus history.</w:t>
      </w:r>
    </w:p>
    <w:p>
      <w:pPr>
        <w:ind w:left="259" w:hanging="202"/>
      </w:pPr>
      <w:r>
        <w:rPr>
          <w:b/>
        </w:rPr>
        <w:t xml:space="preserve">• </w:t>
      </w:r>
      <w:r>
        <w:t>God chooses the route according to spiritual capacity, not mere distance.</w:t>
      </w:r>
    </w:p>
    <w:p>
      <w:pPr>
        <w:ind w:left="259" w:hanging="202"/>
      </w:pPr>
      <w:r>
        <w:rPr>
          <w:b/>
        </w:rPr>
        <w:t xml:space="preserve">• </w:t>
      </w:r>
      <w:r>
        <w:t>Joseph’s bones witness to the certainty of covenant visitation.</w:t>
      </w:r>
    </w:p>
    <w:p>
      <w:pPr>
        <w:ind w:left="259" w:hanging="202"/>
      </w:pPr>
      <w:r>
        <w:rPr>
          <w:b/>
        </w:rPr>
        <w:t xml:space="preserve">• </w:t>
      </w:r>
      <w:r>
        <w:t>The pillar gives continual Divine guidance.</w:t>
      </w:r>
    </w:p>
    <w:p>
      <w:pPr>
        <w:ind w:left="259" w:hanging="202"/>
      </w:pPr>
      <w:r>
        <w:rPr>
          <w:b/>
        </w:rPr>
        <w:t xml:space="preserve">• </w:t>
      </w:r>
      <w:r>
        <w:t>The escaped slaves become an ordered host.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13:2</w:t>
            </w:r>
          </w:p>
        </w:tc>
        <w:tc>
          <w:tcPr>
            <w:tcW w:type="dxa" w:w="3552"/>
            <w:vAlign w:val="top"/>
          </w:tcPr>
          <w:p>
            <w:pPr>
              <w:spacing w:after="0"/>
            </w:pPr>
            <w:r>
              <w:rPr>
                <w:rFonts w:ascii="Times New Roman" w:hAnsi="Times New Roman"/>
                <w:sz w:val="15"/>
              </w:rPr>
              <w:t>qadash</w:t>
            </w:r>
          </w:p>
        </w:tc>
        <w:tc>
          <w:tcPr>
            <w:tcW w:type="dxa" w:w="3552"/>
            <w:vAlign w:val="top"/>
          </w:tcPr>
          <w:p>
            <w:pPr>
              <w:spacing w:after="0"/>
            </w:pPr>
            <w:r>
              <w:rPr>
                <w:rFonts w:ascii="Times New Roman" w:hAnsi="Times New Roman"/>
                <w:sz w:val="15"/>
              </w:rPr>
              <w:t>Set apart/sanctify for Divine use.</w:t>
            </w:r>
          </w:p>
        </w:tc>
      </w:tr>
      <w:tr>
        <w:tc>
          <w:tcPr>
            <w:tcW w:type="dxa" w:w="3552"/>
            <w:vAlign w:val="top"/>
          </w:tcPr>
          <w:p>
            <w:pPr>
              <w:spacing w:after="0"/>
            </w:pPr>
            <w:r>
              <w:rPr>
                <w:rFonts w:ascii="Times New Roman" w:hAnsi="Times New Roman"/>
                <w:sz w:val="15"/>
              </w:rPr>
              <w:t>Ex. 13:4</w:t>
            </w:r>
          </w:p>
        </w:tc>
        <w:tc>
          <w:tcPr>
            <w:tcW w:type="dxa" w:w="3552"/>
            <w:vAlign w:val="top"/>
          </w:tcPr>
          <w:p>
            <w:pPr>
              <w:spacing w:after="0"/>
            </w:pPr>
            <w:r>
              <w:rPr>
                <w:rFonts w:ascii="Times New Roman" w:hAnsi="Times New Roman"/>
                <w:sz w:val="15"/>
              </w:rPr>
              <w:t>Abib</w:t>
            </w:r>
          </w:p>
        </w:tc>
        <w:tc>
          <w:tcPr>
            <w:tcW w:type="dxa" w:w="3552"/>
            <w:vAlign w:val="top"/>
          </w:tcPr>
          <w:p>
            <w:pPr>
              <w:spacing w:after="0"/>
            </w:pPr>
            <w:r>
              <w:rPr>
                <w:rFonts w:ascii="Times New Roman" w:hAnsi="Times New Roman"/>
                <w:sz w:val="15"/>
              </w:rPr>
              <w:t>Month of ripening ears; later called Nisan.</w:t>
            </w:r>
          </w:p>
        </w:tc>
      </w:tr>
      <w:tr>
        <w:tc>
          <w:tcPr>
            <w:tcW w:type="dxa" w:w="3552"/>
            <w:vAlign w:val="top"/>
          </w:tcPr>
          <w:p>
            <w:pPr>
              <w:spacing w:after="0"/>
            </w:pPr>
            <w:r>
              <w:rPr>
                <w:rFonts w:ascii="Times New Roman" w:hAnsi="Times New Roman"/>
                <w:sz w:val="15"/>
              </w:rPr>
              <w:t>Ex. 13:8</w:t>
            </w:r>
          </w:p>
        </w:tc>
        <w:tc>
          <w:tcPr>
            <w:tcW w:type="dxa" w:w="3552"/>
            <w:vAlign w:val="top"/>
          </w:tcPr>
          <w:p>
            <w:pPr>
              <w:spacing w:after="0"/>
            </w:pPr>
            <w:r>
              <w:rPr>
                <w:rFonts w:ascii="Times New Roman" w:hAnsi="Times New Roman"/>
                <w:sz w:val="15"/>
              </w:rPr>
              <w:t>unto me</w:t>
            </w:r>
          </w:p>
        </w:tc>
        <w:tc>
          <w:tcPr>
            <w:tcW w:type="dxa" w:w="3552"/>
            <w:vAlign w:val="top"/>
          </w:tcPr>
          <w:p>
            <w:pPr>
              <w:spacing w:after="0"/>
            </w:pPr>
            <w:r>
              <w:rPr>
                <w:rFonts w:ascii="Times New Roman" w:hAnsi="Times New Roman"/>
                <w:sz w:val="15"/>
              </w:rPr>
              <w:t>Later generations personally identify with Exodus history.</w:t>
            </w:r>
          </w:p>
        </w:tc>
      </w:tr>
      <w:tr>
        <w:tc>
          <w:tcPr>
            <w:tcW w:type="dxa" w:w="3552"/>
            <w:vAlign w:val="top"/>
          </w:tcPr>
          <w:p>
            <w:pPr>
              <w:spacing w:after="0"/>
            </w:pPr>
            <w:r>
              <w:rPr>
                <w:rFonts w:ascii="Times New Roman" w:hAnsi="Times New Roman"/>
                <w:sz w:val="15"/>
              </w:rPr>
              <w:t>Ex. 13:9</w:t>
            </w:r>
          </w:p>
        </w:tc>
        <w:tc>
          <w:tcPr>
            <w:tcW w:type="dxa" w:w="3552"/>
            <w:vAlign w:val="top"/>
          </w:tcPr>
          <w:p>
            <w:pPr>
              <w:spacing w:after="0"/>
            </w:pPr>
            <w:r>
              <w:rPr>
                <w:rFonts w:ascii="Times New Roman" w:hAnsi="Times New Roman"/>
                <w:sz w:val="15"/>
              </w:rPr>
              <w:t>hand / between eyes</w:t>
            </w:r>
          </w:p>
        </w:tc>
        <w:tc>
          <w:tcPr>
            <w:tcW w:type="dxa" w:w="3552"/>
            <w:vAlign w:val="top"/>
          </w:tcPr>
          <w:p>
            <w:pPr>
              <w:spacing w:after="0"/>
            </w:pPr>
            <w:r>
              <w:rPr>
                <w:rFonts w:ascii="Times New Roman" w:hAnsi="Times New Roman"/>
                <w:sz w:val="15"/>
              </w:rPr>
              <w:t>Memorial shaping action/thought; later literal practice debated.</w:t>
            </w:r>
          </w:p>
        </w:tc>
      </w:tr>
      <w:tr>
        <w:tc>
          <w:tcPr>
            <w:tcW w:type="dxa" w:w="3552"/>
            <w:vAlign w:val="top"/>
          </w:tcPr>
          <w:p>
            <w:pPr>
              <w:spacing w:after="0"/>
            </w:pPr>
            <w:r>
              <w:rPr>
                <w:rFonts w:ascii="Times New Roman" w:hAnsi="Times New Roman"/>
                <w:sz w:val="15"/>
              </w:rPr>
              <w:t>Ex. 13:13</w:t>
            </w:r>
          </w:p>
        </w:tc>
        <w:tc>
          <w:tcPr>
            <w:tcW w:type="dxa" w:w="3552"/>
            <w:vAlign w:val="top"/>
          </w:tcPr>
          <w:p>
            <w:pPr>
              <w:spacing w:after="0"/>
            </w:pPr>
            <w:r>
              <w:rPr>
                <w:rFonts w:ascii="Times New Roman" w:hAnsi="Times New Roman"/>
                <w:sz w:val="15"/>
              </w:rPr>
              <w:t>firstborn redemption</w:t>
            </w:r>
          </w:p>
        </w:tc>
        <w:tc>
          <w:tcPr>
            <w:tcW w:type="dxa" w:w="3552"/>
            <w:vAlign w:val="top"/>
          </w:tcPr>
          <w:p>
            <w:pPr>
              <w:spacing w:after="0"/>
            </w:pPr>
            <w:r>
              <w:rPr>
                <w:rFonts w:ascii="Times New Roman" w:hAnsi="Times New Roman"/>
                <w:sz w:val="15"/>
              </w:rPr>
              <w:t>Human firstborn redeemed, not sacrificed.</w:t>
            </w:r>
          </w:p>
        </w:tc>
      </w:tr>
      <w:tr>
        <w:tc>
          <w:tcPr>
            <w:tcW w:type="dxa" w:w="3552"/>
            <w:vAlign w:val="top"/>
          </w:tcPr>
          <w:p>
            <w:pPr>
              <w:spacing w:after="0"/>
            </w:pPr>
            <w:r>
              <w:rPr>
                <w:rFonts w:ascii="Times New Roman" w:hAnsi="Times New Roman"/>
                <w:sz w:val="15"/>
              </w:rPr>
              <w:t>Ex. 13:18</w:t>
            </w:r>
          </w:p>
        </w:tc>
        <w:tc>
          <w:tcPr>
            <w:tcW w:type="dxa" w:w="3552"/>
            <w:vAlign w:val="top"/>
          </w:tcPr>
          <w:p>
            <w:pPr>
              <w:spacing w:after="0"/>
            </w:pPr>
            <w:r>
              <w:rPr>
                <w:rFonts w:ascii="Times New Roman" w:hAnsi="Times New Roman"/>
                <w:sz w:val="15"/>
              </w:rPr>
              <w:t>chamushim</w:t>
            </w:r>
          </w:p>
        </w:tc>
        <w:tc>
          <w:tcPr>
            <w:tcW w:type="dxa" w:w="3552"/>
            <w:vAlign w:val="top"/>
          </w:tcPr>
          <w:p>
            <w:pPr>
              <w:spacing w:after="0"/>
            </w:pPr>
            <w:r>
              <w:rPr>
                <w:rFonts w:ascii="Times New Roman" w:hAnsi="Times New Roman"/>
                <w:sz w:val="15"/>
              </w:rPr>
              <w:t>Armed/equipped/ordered; exact formation uncertain.</w:t>
            </w:r>
          </w:p>
        </w:tc>
      </w:tr>
      <w:tr>
        <w:tc>
          <w:tcPr>
            <w:tcW w:type="dxa" w:w="3552"/>
            <w:vAlign w:val="top"/>
          </w:tcPr>
          <w:p>
            <w:pPr>
              <w:spacing w:after="0"/>
            </w:pPr>
            <w:r>
              <w:rPr>
                <w:rFonts w:ascii="Times New Roman" w:hAnsi="Times New Roman"/>
                <w:sz w:val="15"/>
              </w:rPr>
              <w:t>Ex. 13:19</w:t>
            </w:r>
          </w:p>
        </w:tc>
        <w:tc>
          <w:tcPr>
            <w:tcW w:type="dxa" w:w="3552"/>
            <w:vAlign w:val="top"/>
          </w:tcPr>
          <w:p>
            <w:pPr>
              <w:spacing w:after="0"/>
            </w:pPr>
            <w:r>
              <w:rPr>
                <w:rFonts w:ascii="Times New Roman" w:hAnsi="Times New Roman"/>
                <w:sz w:val="15"/>
              </w:rPr>
              <w:t>Heb. 11:22</w:t>
            </w:r>
          </w:p>
        </w:tc>
        <w:tc>
          <w:tcPr>
            <w:tcW w:type="dxa" w:w="3552"/>
            <w:vAlign w:val="top"/>
          </w:tcPr>
          <w:p>
            <w:pPr>
              <w:spacing w:after="0"/>
            </w:pPr>
            <w:r>
              <w:rPr>
                <w:rFonts w:ascii="Times New Roman" w:hAnsi="Times New Roman"/>
                <w:sz w:val="15"/>
              </w:rPr>
              <w:t>Joseph’s bones command explicitly interpreted as faith.</w:t>
            </w:r>
          </w:p>
        </w:tc>
      </w:tr>
      <w:tr>
        <w:tc>
          <w:tcPr>
            <w:tcW w:type="dxa" w:w="3552"/>
            <w:vAlign w:val="top"/>
          </w:tcPr>
          <w:p>
            <w:pPr>
              <w:spacing w:after="0"/>
            </w:pPr>
            <w:r>
              <w:rPr>
                <w:rFonts w:ascii="Times New Roman" w:hAnsi="Times New Roman"/>
                <w:sz w:val="15"/>
              </w:rPr>
              <w:t>Ex. 13:19</w:t>
            </w:r>
          </w:p>
        </w:tc>
        <w:tc>
          <w:tcPr>
            <w:tcW w:type="dxa" w:w="3552"/>
            <w:vAlign w:val="top"/>
          </w:tcPr>
          <w:p>
            <w:pPr>
              <w:spacing w:after="0"/>
            </w:pPr>
            <w:r>
              <w:rPr>
                <w:rFonts w:ascii="Times New Roman" w:hAnsi="Times New Roman"/>
                <w:sz w:val="15"/>
              </w:rPr>
              <w:t>Gen. 50:24–25; Josh. 24:32</w:t>
            </w:r>
          </w:p>
        </w:tc>
        <w:tc>
          <w:tcPr>
            <w:tcW w:type="dxa" w:w="3552"/>
            <w:vAlign w:val="top"/>
          </w:tcPr>
          <w:p>
            <w:pPr>
              <w:spacing w:after="0"/>
            </w:pPr>
            <w:r>
              <w:rPr>
                <w:rFonts w:ascii="Times New Roman" w:hAnsi="Times New Roman"/>
                <w:sz w:val="15"/>
              </w:rPr>
              <w:t>Promise, carrying out, final burial.</w:t>
            </w:r>
          </w:p>
        </w:tc>
      </w:tr>
      <w:tr>
        <w:tc>
          <w:tcPr>
            <w:tcW w:type="dxa" w:w="3552"/>
            <w:vAlign w:val="top"/>
          </w:tcPr>
          <w:p>
            <w:pPr>
              <w:spacing w:after="0"/>
            </w:pPr>
            <w:r>
              <w:rPr>
                <w:rFonts w:ascii="Times New Roman" w:hAnsi="Times New Roman"/>
                <w:sz w:val="15"/>
              </w:rPr>
              <w:t>Ex. 13:20</w:t>
            </w:r>
          </w:p>
        </w:tc>
        <w:tc>
          <w:tcPr>
            <w:tcW w:type="dxa" w:w="3552"/>
            <w:vAlign w:val="top"/>
          </w:tcPr>
          <w:p>
            <w:pPr>
              <w:spacing w:after="0"/>
            </w:pPr>
            <w:r>
              <w:rPr>
                <w:rFonts w:ascii="Times New Roman" w:hAnsi="Times New Roman"/>
                <w:sz w:val="15"/>
              </w:rPr>
              <w:t>Succoth / Etham</w:t>
            </w:r>
          </w:p>
        </w:tc>
        <w:tc>
          <w:tcPr>
            <w:tcW w:type="dxa" w:w="3552"/>
            <w:vAlign w:val="top"/>
          </w:tcPr>
          <w:p>
            <w:pPr>
              <w:spacing w:after="0"/>
            </w:pPr>
            <w:r>
              <w:rPr>
                <w:rFonts w:ascii="Times New Roman" w:hAnsi="Times New Roman"/>
                <w:sz w:val="15"/>
              </w:rPr>
              <w:t>Textual stations secure; modern identification disputed.</w:t>
            </w:r>
          </w:p>
        </w:tc>
      </w:tr>
      <w:tr>
        <w:tc>
          <w:tcPr>
            <w:tcW w:type="dxa" w:w="3552"/>
            <w:vAlign w:val="top"/>
          </w:tcPr>
          <w:p>
            <w:pPr>
              <w:spacing w:after="0"/>
            </w:pPr>
            <w:r>
              <w:rPr>
                <w:rFonts w:ascii="Times New Roman" w:hAnsi="Times New Roman"/>
                <w:sz w:val="15"/>
              </w:rPr>
              <w:t>Ex. 13:21–22</w:t>
            </w:r>
          </w:p>
        </w:tc>
        <w:tc>
          <w:tcPr>
            <w:tcW w:type="dxa" w:w="3552"/>
            <w:vAlign w:val="top"/>
          </w:tcPr>
          <w:p>
            <w:pPr>
              <w:spacing w:after="0"/>
            </w:pPr>
            <w:r>
              <w:rPr>
                <w:rFonts w:ascii="Times New Roman" w:hAnsi="Times New Roman"/>
                <w:sz w:val="15"/>
              </w:rPr>
              <w:t>cloud and fire</w:t>
            </w:r>
          </w:p>
        </w:tc>
        <w:tc>
          <w:tcPr>
            <w:tcW w:type="dxa" w:w="3552"/>
            <w:vAlign w:val="top"/>
          </w:tcPr>
          <w:p>
            <w:pPr>
              <w:spacing w:after="0"/>
            </w:pPr>
            <w:r>
              <w:rPr>
                <w:rFonts w:ascii="Times New Roman" w:hAnsi="Times New Roman"/>
                <w:sz w:val="15"/>
              </w:rPr>
              <w:t>Continuous Divine guidance.</w:t>
            </w:r>
          </w:p>
        </w:tc>
      </w:tr>
    </w:tbl>
    <w:p>
      <w:pPr>
        <w:pStyle w:val="Heading1"/>
      </w:pPr>
      <w:r>
        <w:t>RESIDUAL UNCERTAINTIES</w:t>
      </w:r>
    </w:p>
    <w:p>
      <w:pPr/>
      <w:r>
        <w:rPr>
          <w:i w:val="0"/>
        </w:rPr>
        <w:t>The exact geography of Succoth, Etham and the sea-route remains debated. Chamushim has several plausible senses, so detailed rank formations are not retained as certain. The relationship between hand/eyes memorial language and later phylactery practice is interpretively disputed.</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16"/>
      </w:rPr>
      <w:t>H. P. MANSFIELD BIBLE NOTES  •  EXODUS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