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14</w:t>
      </w:r>
    </w:p>
    <w:p>
      <w:pPr>
        <w:pStyle w:val="Subtitle"/>
      </w:pPr>
      <w:r>
        <w:t>THE RED SEA • PHARAOH PURSUES • “STAND STILL” • “GO FORWARD” • THE SEA DIVIDED • EGYPT OVERTHROWN • ISRAEL BELIEVES</w:t>
      </w:r>
    </w:p>
    <w:p>
      <w:pPr/>
      <w:r>
        <w:rPr>
          <w:i/>
        </w:rPr>
        <w:t>H. P. Mansfield Bible notes — checked and arranged in verse-by-verse Expositor style</w:t>
      </w:r>
    </w:p>
    <w:p>
      <w:pPr/>
      <w:r>
        <w:rPr>
          <w:i w:val="0"/>
        </w:rPr>
        <w:t>Source: HPB 02-Gen42-Lev11.pdf, principally Exodus 14 photographed pages 37–39</w:t>
      </w:r>
    </w:p>
    <w:p>
      <w:pPr>
        <w:pStyle w:val="Heading1"/>
      </w:pPr>
      <w:r>
        <w:t>CHAPTER OVERVIEW</w:t>
      </w:r>
    </w:p>
    <w:p>
      <w:pPr/>
      <w:r>
        <w:rPr>
          <w:i w:val="0"/>
        </w:rPr>
        <w:t>Exodus 14 is a deliberately staged crisis. Yahweh directs Israel into a position that appears militarily disastrous, Pharaoh concludes that the people are trapped, and the pursuing chariot force seems to remove every human possibility of escape. The narrative then contrasts Israel’s panic with Yahweh’s command, Moses’ confidence, and the decisive opening of the sea.</w:t>
      </w:r>
    </w:p>
    <w:p>
      <w:pPr/>
      <w:r>
        <w:rPr>
          <w:i w:val="0"/>
        </w:rPr>
        <w:t>The chapter should not be reduced to a fortunate tide or wind event. A strong east wind is the means Yahweh uses, but the timing, dry path, protective cloud, divided waters, Egyptian pursuit and catastrophic return of the sea form one coordinated Divine act. Later Scripture explicitly treats the crossing as a saving act of faith and as part of Israel’s baptismal pattern (1 Corinthians 10:1–2; Hebrews 11:29).</w:t>
      </w:r>
    </w:p>
    <w:p>
      <w:pPr>
        <w:pStyle w:val="Heading1"/>
      </w:pPr>
      <w:r>
        <w:t>YAHWEH LEADS ISRAEL TO THE SEA — EXODUS 14:1–4</w:t>
      </w:r>
    </w:p>
    <w:p>
      <w:pPr>
        <w:pStyle w:val="Heading2"/>
      </w:pPr>
      <w:r>
        <w:t>Exodus 14:1–2 — Pi-hahiroth, Migdol and Baal-zephon</w:t>
      </w:r>
    </w:p>
    <w:p>
      <w:pPr/>
      <w:r>
        <w:rPr>
          <w:i w:val="0"/>
        </w:rPr>
        <w:t>Israel is told to turn and camp before Pi-hahiroth, between Migdol and the sea, opposite Baal-zephon. The exact locations remain disputed, so attempts to fix the crossing confidently at Ras Attakah, the Bitter Lakes, a northern lagoon or another single site should remain proposals rather than established fact. The Hebrew verb shuv/turn in context does not by itself prove a specific compass-direction reversal.</w:t>
      </w:r>
    </w:p>
    <w:p>
      <w:pPr/>
      <w:r>
        <w:rPr>
          <w:i w:val="0"/>
        </w:rPr>
        <w:t>Yam Suph is traditionally rendered “Red Sea.” Its Hebrew form can be understood as “Sea of Reeds,” but biblical usage also extends to the water associated with the Gulfs of Suez/Aqaba (compare Numbers 21:4; 1 Kings 9:26), and the New Testament uses the Greek name “Red Sea” (Acts 7:36; Hebrews 11:29). The name therefore does not settle the precise crossing site.</w:t>
      </w:r>
    </w:p>
    <w:p>
      <w:pPr>
        <w:pStyle w:val="Heading2"/>
      </w:pPr>
      <w:r>
        <w:t>Exodus 14:3–4 — the apparent trap is intentional</w:t>
      </w:r>
    </w:p>
    <w:p>
      <w:pPr/>
      <w:r>
        <w:rPr>
          <w:i w:val="0"/>
        </w:rPr>
        <w:t>Pharaoh will say that Israel is entangled or perplexed in the land and shut in by the wilderness. The apparently vulnerable position is not a navigational mistake. Yahweh has arranged the crisis so that His judgment on Pharaoh will reveal His Name: “the Egyptians may know that I am Yahweh.”</w:t>
      </w:r>
    </w:p>
    <w:p>
      <w:pPr>
        <w:pStyle w:val="Heading1"/>
      </w:pPr>
      <w:r>
        <w:t>PHARAOH PURSUES — EXODUS 14:5–9</w:t>
      </w:r>
    </w:p>
    <w:p>
      <w:pPr>
        <w:pStyle w:val="Heading2"/>
      </w:pPr>
      <w:r>
        <w:t>Exodus 14:5–7 — Egypt regrets losing its labour force</w:t>
      </w:r>
    </w:p>
    <w:p>
      <w:pPr/>
      <w:r>
        <w:rPr>
          <w:i w:val="0"/>
        </w:rPr>
        <w:t>Pharaoh and his servants reverse their attitude: “Why have we done this, that we have let Israel go from serving us?” Pharaoh yokes his chariot and takes six hundred chosen chariots together with Egypt’s other chariot force. The six hundred are a military fact; Mansfield’s use of six as a symbolic number of flesh is typological rather than the narrative explanation.</w:t>
      </w:r>
    </w:p>
    <w:p>
      <w:pPr>
        <w:pStyle w:val="Heading2"/>
      </w:pPr>
      <w:r>
        <w:t>Exodus 14:8–9 — Israel goes out with a high hand</w:t>
      </w:r>
    </w:p>
    <w:p>
      <w:pPr/>
      <w:r>
        <w:rPr>
          <w:i w:val="0"/>
        </w:rPr>
        <w:t>Israel has departed “with an high hand” — beyad ramah, with uplifted hand, boldly or openly — while Egypt pursues and overtakes them by the sea. The contrast is deliberate: recent confidence collapses when visible military power appears.</w:t>
      </w:r>
    </w:p>
    <w:p>
      <w:pPr>
        <w:pStyle w:val="Heading1"/>
      </w:pPr>
      <w:r>
        <w:t>THE PEOPLE PANIC; MOSES STANDS IN FAITH — EXODUS 14:10–14</w:t>
      </w:r>
    </w:p>
    <w:p>
      <w:pPr>
        <w:pStyle w:val="Heading2"/>
      </w:pPr>
      <w:r>
        <w:t>Exodus 14:10–12 — fear rewrites the past</w:t>
      </w:r>
    </w:p>
    <w:p>
      <w:pPr/>
      <w:r>
        <w:rPr>
          <w:i w:val="0"/>
        </w:rPr>
        <w:t>Israel sees Pharaoh’s army, becomes very afraid and cries to Yahweh, but immediately turns on Moses. Their bitter question about graves in Egypt and their preference for Egyptian service show how fear can romanticise bondage once freedom becomes costly.</w:t>
      </w:r>
    </w:p>
    <w:p>
      <w:pPr/>
      <w:r>
        <w:rPr>
          <w:i w:val="0"/>
        </w:rPr>
        <w:t>The claim, “Let us alone, that we may serve the Egyptians,” is not recorded verbatim in the earlier narrative, but it accurately exposes the attitude now governing them. Freedom from the old master has not yet produced mature trust in the Deliverer.</w:t>
      </w:r>
    </w:p>
    <w:p>
      <w:pPr>
        <w:pStyle w:val="Heading2"/>
      </w:pPr>
      <w:r>
        <w:t>Exodus 14:13–14 — “stand still, and see the salvation of Yahweh”</w:t>
      </w:r>
    </w:p>
    <w:p>
      <w:pPr/>
      <w:r>
        <w:rPr>
          <w:i w:val="0"/>
        </w:rPr>
        <w:t>Moses answers: “Fear ye not, stand still, and see the salvation of Yahweh.” The noun yeshu‘ah means salvation/deliverance. Israel is not being asked to defeat Egypt; it is being asked to witness Yahweh’s deliverance.</w:t>
      </w:r>
    </w:p>
    <w:p>
      <w:pPr/>
      <w:r>
        <w:rPr>
          <w:i w:val="0"/>
        </w:rPr>
        <w:t>“Yahweh shall fight for you, and ye shall hold your peace.” The verb charash can mean be silent/keep quiet. The command is not passivity as a permanent rule; verse 15 immediately requires obedient forward movement. Faith first abandons self-rescue, then acts when God commands.</w:t>
      </w:r>
    </w:p>
    <w:p>
      <w:pPr>
        <w:pStyle w:val="Heading1"/>
      </w:pPr>
      <w:r>
        <w:t>“GO FORWARD” — EXODUS 14:15–18</w:t>
      </w:r>
    </w:p>
    <w:p>
      <w:pPr>
        <w:pStyle w:val="Heading2"/>
      </w:pPr>
      <w:r>
        <w:t>Exodus 14:15–16 — trust becomes obedient movement</w:t>
      </w:r>
    </w:p>
    <w:p>
      <w:pPr/>
      <w:r>
        <w:rPr>
          <w:i w:val="0"/>
        </w:rPr>
        <w:t>Yahweh asks Moses why he is crying to Him and commands Israel to go forward. Moses is to raise the rod and stretch out his hand so the sea divides and Israel goes through on yabashah — dry land/dry ground. The juxtaposition of “stand still” and “go forward” is one of Mansfield’s strongest practical observations: dependence on God and obedient action are not opposites.</w:t>
      </w:r>
    </w:p>
    <w:p>
      <w:pPr>
        <w:pStyle w:val="Heading2"/>
      </w:pPr>
      <w:r>
        <w:t>Exodus 14:17–18 — Egypt follows into judgment</w:t>
      </w:r>
    </w:p>
    <w:p>
      <w:pPr/>
      <w:r>
        <w:rPr>
          <w:i w:val="0"/>
        </w:rPr>
        <w:t>Yahweh strengthens or allows the hardening of the Egyptians’ resolve so that they follow. His honour will be manifested upon Pharaoh’s military power, completing the revelation begun through the plagues.</w:t>
      </w:r>
    </w:p>
    <w:p>
      <w:pPr>
        <w:pStyle w:val="Heading1"/>
      </w:pPr>
      <w:r>
        <w:t>THE CLOUD BECOMES A BARRIER — EXODUS 14:19–20</w:t>
      </w:r>
    </w:p>
    <w:p>
      <w:pPr>
        <w:pStyle w:val="Heading2"/>
      </w:pPr>
      <w:r>
        <w:t>Exodus 14:19–20 — one Divine presence, protection and restraint</w:t>
      </w:r>
    </w:p>
    <w:p>
      <w:pPr/>
      <w:r>
        <w:rPr>
          <w:i w:val="0"/>
        </w:rPr>
        <w:t>The Angel of God and the pillar move from Israel’s front to the rear, standing between Israel and Egypt. The Hebrew of verse 20 is compact, but the sense is clear: the cloud creates darkness toward the Egyptians while giving light through the night to Israel, preventing the armies from closing.</w:t>
      </w:r>
    </w:p>
    <w:p>
      <w:pPr/>
      <w:r>
        <w:rPr>
          <w:i w:val="0"/>
        </w:rPr>
        <w:t>The same Divine presence therefore has opposite effects according to relationship: protection and guidance for Israel, obstruction and darkness for the pursuing force.</w:t>
      </w:r>
    </w:p>
    <w:p>
      <w:pPr>
        <w:pStyle w:val="Heading1"/>
      </w:pPr>
      <w:r>
        <w:t>THE SEA DIVIDED — EXODUS 14:21–22</w:t>
      </w:r>
    </w:p>
    <w:p>
      <w:pPr>
        <w:pStyle w:val="Heading2"/>
      </w:pPr>
      <w:r>
        <w:t>Exodus 14:21 — a strong east wind all night</w:t>
      </w:r>
    </w:p>
    <w:p>
      <w:pPr/>
      <w:r>
        <w:rPr>
          <w:i w:val="0"/>
        </w:rPr>
        <w:t>Moses stretches out his hand and Yahweh drives the sea back by a strong east wind, ruach qadim ‘azzah, throughout the night. Natural agency does not remove miracle; Scripture explicitly attributes the operation to Yahweh. Psalm 77:16–20 and Psalm 106:9–12 remember the crossing as a Divine act accompanied by overwhelming waters and storm imagery.</w:t>
      </w:r>
    </w:p>
    <w:p>
      <w:pPr>
        <w:pStyle w:val="Heading2"/>
      </w:pPr>
      <w:r>
        <w:t>Exodus 14:22 — dry land and walls of water</w:t>
      </w:r>
    </w:p>
    <w:p>
      <w:pPr/>
      <w:r>
        <w:rPr>
          <w:i w:val="0"/>
        </w:rPr>
        <w:t>Israel enters the sea on dry ground, with the waters forming a wall on the right and left. The description requires more than shallow wading. Hebrews 11:29 explicitly says Israel passed through the Red Sea “as by dry land,” while the Egyptians attempting the same were drowned.</w:t>
      </w:r>
    </w:p>
    <w:p>
      <w:pPr>
        <w:pStyle w:val="Heading1"/>
      </w:pPr>
      <w:r>
        <w:t>EGYPT PURSUES AND IS TROUBLED — EXODUS 14:23–25</w:t>
      </w:r>
    </w:p>
    <w:p>
      <w:pPr>
        <w:pStyle w:val="Heading2"/>
      </w:pPr>
      <w:r>
        <w:t>Exodus 14:23–24 — the morning watch</w:t>
      </w:r>
    </w:p>
    <w:p>
      <w:pPr/>
      <w:r>
        <w:rPr>
          <w:i w:val="0"/>
        </w:rPr>
        <w:t>Egypt’s horses, chariots and horsemen follow into the sea. During the morning watch Yahweh looks upon the host through the pillar and throws it into confusion. The phrase identifies the final portion of the night; attempts to assign a modern clock time too precisely are unnecessary.</w:t>
      </w:r>
    </w:p>
    <w:p>
      <w:pPr>
        <w:pStyle w:val="Heading2"/>
      </w:pPr>
      <w:r>
        <w:t>Exodus 14:25 — “Yahweh fighteth for them”</w:t>
      </w:r>
    </w:p>
    <w:p>
      <w:pPr/>
      <w:r>
        <w:rPr>
          <w:i w:val="0"/>
        </w:rPr>
        <w:t>The text describes the chariot wheels as removed, displaced or made to drive with difficulty; the Hebrew tradition and ancient versions reflect some uncertainty in the precise mechanical description. The military result is unambiguous: movement becomes impossible and Egypt finally recognises, “Yahweh fighteth for them against the Egyptians.” Their confession echoes Moses’ words in verse 14.</w:t>
      </w:r>
    </w:p>
    <w:p>
      <w:pPr>
        <w:pStyle w:val="Heading1"/>
      </w:pPr>
      <w:r>
        <w:t>THE SEA RETURNS — EXODUS 14:26–29</w:t>
      </w:r>
    </w:p>
    <w:p>
      <w:pPr>
        <w:pStyle w:val="Heading2"/>
      </w:pPr>
      <w:r>
        <w:t>Exodus 14:26–28 — Egypt overthrown</w:t>
      </w:r>
    </w:p>
    <w:p>
      <w:pPr/>
      <w:r>
        <w:rPr>
          <w:i w:val="0"/>
        </w:rPr>
        <w:t>At Yahweh’s command Moses again stretches out his hand. At morning the sea returns to its normal force/flow, and Yahweh overthrows the pursuing Egyptians in its midst. Chariots, horsemen and the force that entered after Israel are covered; none of that pursuing force remains.</w:t>
      </w:r>
    </w:p>
    <w:p>
      <w:pPr/>
      <w:r>
        <w:rPr>
          <w:i w:val="0"/>
        </w:rPr>
        <w:t>The statement concerns the force that entered the sea. It should not be expanded into an unsupported claim that every Egyptian soldier in the nation, or necessarily Pharaoh personally, died unless another text establishes it.</w:t>
      </w:r>
    </w:p>
    <w:p>
      <w:pPr>
        <w:pStyle w:val="Heading2"/>
      </w:pPr>
      <w:r>
        <w:t>Exodus 14:29 — the same path saves Israel</w:t>
      </w:r>
    </w:p>
    <w:p>
      <w:pPr/>
      <w:r>
        <w:rPr>
          <w:i w:val="0"/>
        </w:rPr>
        <w:t>Israel, by contrast, has walked on dry land through the sea with waters on both sides. The same route becomes salvation for those who follow Yahweh and destruction for the power seeking to restore them to bondage.</w:t>
      </w:r>
    </w:p>
    <w:p>
      <w:pPr>
        <w:pStyle w:val="Heading1"/>
      </w:pPr>
      <w:r>
        <w:t>SALVATION SEEN — EXODUS 14:30–31</w:t>
      </w:r>
    </w:p>
    <w:p>
      <w:pPr>
        <w:pStyle w:val="Heading2"/>
      </w:pPr>
      <w:r>
        <w:t>Exodus 14:30 — “Yahweh saved Israel that day”</w:t>
      </w:r>
    </w:p>
    <w:p>
      <w:pPr/>
      <w:r>
        <w:rPr>
          <w:i w:val="0"/>
        </w:rPr>
        <w:t>The narrator gives the theological verdict: Yahweh saved Israel from the hand of Egypt. The dead Egyptians on the shore show that the enslaving power which pursued them has been decisively broken.</w:t>
      </w:r>
    </w:p>
    <w:p>
      <w:pPr>
        <w:pStyle w:val="Heading2"/>
      </w:pPr>
      <w:r>
        <w:t>Exodus 14:31 — fear and belief</w:t>
      </w:r>
    </w:p>
    <w:p>
      <w:pPr/>
      <w:r>
        <w:rPr>
          <w:i w:val="0"/>
        </w:rPr>
        <w:t>Israel sees the “great hand/work” Yahweh has done, fears Yahweh, and believes Yahweh and His servant Moses. This is eyewitness faith produced by deliverance. The faith will later be tested repeatedly, but the crossing establishes Moses publicly as Yahweh’s appointed servant.</w:t>
      </w:r>
    </w:p>
    <w:p>
      <w:pPr>
        <w:pStyle w:val="Heading1"/>
      </w:pPr>
      <w:r>
        <w:t>BAPTISM AND REDEMPTION PATTERN</w:t>
      </w:r>
    </w:p>
    <w:p>
      <w:pPr/>
      <w:r>
        <w:rPr>
          <w:i w:val="0"/>
        </w:rPr>
        <w:t>First Corinthians 10:1–2 explicitly interprets Israel’s passage under the cloud and through the sea as a baptism “unto Moses.” The pattern is therefore biblical, not merely devotional: the people leave the old master, pass under Divine cloud and through water, and emerge on the far side while the enslaving power is destroyed behind them. The passage does not teach that the water itself mechanically saves; Yahweh’s saving act is received through obedient faith.</w:t>
      </w:r>
    </w:p>
    <w:p>
      <w:pPr>
        <w:pStyle w:val="Heading1"/>
      </w:pPr>
      <w:r>
        <w:t>PRINCIPAL THEMES</w:t>
      </w:r>
    </w:p>
    <w:p>
      <w:pPr>
        <w:ind w:left="259" w:hanging="202"/>
      </w:pPr>
      <w:r>
        <w:rPr>
          <w:b/>
        </w:rPr>
        <w:t xml:space="preserve">• </w:t>
      </w:r>
      <w:r>
        <w:t>Yahweh can deliberately lead His people where no human escape is visible.</w:t>
      </w:r>
    </w:p>
    <w:p>
      <w:pPr>
        <w:ind w:left="259" w:hanging="202"/>
      </w:pPr>
      <w:r>
        <w:rPr>
          <w:b/>
        </w:rPr>
        <w:t xml:space="preserve">• </w:t>
      </w:r>
      <w:r>
        <w:t>Fear can make former bondage appear safer than freedom under God.</w:t>
      </w:r>
    </w:p>
    <w:p>
      <w:pPr>
        <w:ind w:left="259" w:hanging="202"/>
      </w:pPr>
      <w:r>
        <w:rPr>
          <w:b/>
        </w:rPr>
        <w:t xml:space="preserve">• </w:t>
      </w:r>
      <w:r>
        <w:t>Faith must both cease from self-rescue and move when God commands.</w:t>
      </w:r>
    </w:p>
    <w:p>
      <w:pPr>
        <w:ind w:left="259" w:hanging="202"/>
      </w:pPr>
      <w:r>
        <w:rPr>
          <w:b/>
        </w:rPr>
        <w:t xml:space="preserve">• </w:t>
      </w:r>
      <w:r>
        <w:t>The Angel and cloud protect Israel while restraining Egypt.</w:t>
      </w:r>
    </w:p>
    <w:p>
      <w:pPr>
        <w:ind w:left="259" w:hanging="202"/>
      </w:pPr>
      <w:r>
        <w:rPr>
          <w:b/>
        </w:rPr>
        <w:t xml:space="preserve">• </w:t>
      </w:r>
      <w:r>
        <w:t>Wind is a servant of Yahweh’s precisely timed miracle, not an alternative to it.</w:t>
      </w:r>
    </w:p>
    <w:p>
      <w:pPr>
        <w:ind w:left="259" w:hanging="202"/>
      </w:pPr>
      <w:r>
        <w:rPr>
          <w:b/>
        </w:rPr>
        <w:t xml:space="preserve">• </w:t>
      </w:r>
      <w:r>
        <w:t>The same sea becomes salvation for Israel and judgment for the pursuing power.</w:t>
      </w:r>
    </w:p>
    <w:p>
      <w:pPr>
        <w:ind w:left="259" w:hanging="202"/>
      </w:pPr>
      <w:r>
        <w:rPr>
          <w:b/>
        </w:rPr>
        <w:t xml:space="preserve">• </w:t>
      </w:r>
      <w:r>
        <w:t>Israel’s crossing is explicitly used in Scripture as a baptismal/redemption pattern.</w:t>
      </w:r>
    </w:p>
    <w:p>
      <w:pPr>
        <w:ind w:left="259" w:hanging="202"/>
      </w:pPr>
      <w:r>
        <w:rPr>
          <w:b/>
        </w:rPr>
        <w:t xml:space="preserve">• </w:t>
      </w:r>
      <w:r>
        <w:t>The chapter closes with fear of Yahweh and belief in His appointed servant Moses.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14:2</w:t>
            </w:r>
          </w:p>
        </w:tc>
        <w:tc>
          <w:tcPr>
            <w:tcW w:type="dxa" w:w="3552"/>
            <w:vAlign w:val="top"/>
          </w:tcPr>
          <w:p>
            <w:pPr>
              <w:spacing w:after="0"/>
            </w:pPr>
            <w:r>
              <w:rPr>
                <w:rFonts w:ascii="Times New Roman" w:hAnsi="Times New Roman"/>
                <w:sz w:val="14"/>
              </w:rPr>
              <w:t>Pi-hahiroth / Migdol / Baal-zephon</w:t>
            </w:r>
          </w:p>
        </w:tc>
        <w:tc>
          <w:tcPr>
            <w:tcW w:type="dxa" w:w="3552"/>
            <w:vAlign w:val="top"/>
          </w:tcPr>
          <w:p>
            <w:pPr>
              <w:spacing w:after="0"/>
            </w:pPr>
            <w:r>
              <w:rPr>
                <w:rFonts w:ascii="Times New Roman" w:hAnsi="Times New Roman"/>
                <w:sz w:val="14"/>
              </w:rPr>
              <w:t>Exact identifications uncertain; route reconstructions kept provisional.</w:t>
            </w:r>
          </w:p>
        </w:tc>
      </w:tr>
      <w:tr>
        <w:tc>
          <w:tcPr>
            <w:tcW w:type="dxa" w:w="3552"/>
            <w:vAlign w:val="top"/>
          </w:tcPr>
          <w:p>
            <w:pPr>
              <w:spacing w:after="0"/>
            </w:pPr>
            <w:r>
              <w:rPr>
                <w:rFonts w:ascii="Times New Roman" w:hAnsi="Times New Roman"/>
                <w:sz w:val="14"/>
              </w:rPr>
              <w:t>Ex. 14:2</w:t>
            </w:r>
          </w:p>
        </w:tc>
        <w:tc>
          <w:tcPr>
            <w:tcW w:type="dxa" w:w="3552"/>
            <w:vAlign w:val="top"/>
          </w:tcPr>
          <w:p>
            <w:pPr>
              <w:spacing w:after="0"/>
            </w:pPr>
            <w:r>
              <w:rPr>
                <w:rFonts w:ascii="Times New Roman" w:hAnsi="Times New Roman"/>
                <w:sz w:val="14"/>
              </w:rPr>
              <w:t>Yam Suph</w:t>
            </w:r>
          </w:p>
        </w:tc>
        <w:tc>
          <w:tcPr>
            <w:tcW w:type="dxa" w:w="3552"/>
            <w:vAlign w:val="top"/>
          </w:tcPr>
          <w:p>
            <w:pPr>
              <w:spacing w:after="0"/>
            </w:pPr>
            <w:r>
              <w:rPr>
                <w:rFonts w:ascii="Times New Roman" w:hAnsi="Times New Roman"/>
                <w:sz w:val="14"/>
              </w:rPr>
              <w:t>Traditionally Red Sea; Hebrew may mean Sea of Reeds, but usage does not fix one crossing site.</w:t>
            </w:r>
          </w:p>
        </w:tc>
      </w:tr>
      <w:tr>
        <w:tc>
          <w:tcPr>
            <w:tcW w:type="dxa" w:w="3552"/>
            <w:vAlign w:val="top"/>
          </w:tcPr>
          <w:p>
            <w:pPr>
              <w:spacing w:after="0"/>
            </w:pPr>
            <w:r>
              <w:rPr>
                <w:rFonts w:ascii="Times New Roman" w:hAnsi="Times New Roman"/>
                <w:sz w:val="14"/>
              </w:rPr>
              <w:t>Ex. 14:3</w:t>
            </w:r>
          </w:p>
        </w:tc>
        <w:tc>
          <w:tcPr>
            <w:tcW w:type="dxa" w:w="3552"/>
            <w:vAlign w:val="top"/>
          </w:tcPr>
          <w:p>
            <w:pPr>
              <w:spacing w:after="0"/>
            </w:pPr>
            <w:r>
              <w:rPr>
                <w:rFonts w:ascii="Times New Roman" w:hAnsi="Times New Roman"/>
                <w:sz w:val="14"/>
              </w:rPr>
              <w:t>entangled/perplexed</w:t>
            </w:r>
          </w:p>
        </w:tc>
        <w:tc>
          <w:tcPr>
            <w:tcW w:type="dxa" w:w="3552"/>
            <w:vAlign w:val="top"/>
          </w:tcPr>
          <w:p>
            <w:pPr>
              <w:spacing w:after="0"/>
            </w:pPr>
            <w:r>
              <w:rPr>
                <w:rFonts w:ascii="Times New Roman" w:hAnsi="Times New Roman"/>
                <w:sz w:val="14"/>
              </w:rPr>
              <w:t>Pharaoh interprets Israel’s route as confusion and entrapment.</w:t>
            </w:r>
          </w:p>
        </w:tc>
      </w:tr>
      <w:tr>
        <w:tc>
          <w:tcPr>
            <w:tcW w:type="dxa" w:w="3552"/>
            <w:vAlign w:val="top"/>
          </w:tcPr>
          <w:p>
            <w:pPr>
              <w:spacing w:after="0"/>
            </w:pPr>
            <w:r>
              <w:rPr>
                <w:rFonts w:ascii="Times New Roman" w:hAnsi="Times New Roman"/>
                <w:sz w:val="14"/>
              </w:rPr>
              <w:t>Ex. 14:7</w:t>
            </w:r>
          </w:p>
        </w:tc>
        <w:tc>
          <w:tcPr>
            <w:tcW w:type="dxa" w:w="3552"/>
            <w:vAlign w:val="top"/>
          </w:tcPr>
          <w:p>
            <w:pPr>
              <w:spacing w:after="0"/>
            </w:pPr>
            <w:r>
              <w:rPr>
                <w:rFonts w:ascii="Times New Roman" w:hAnsi="Times New Roman"/>
                <w:sz w:val="14"/>
              </w:rPr>
              <w:t>600 chosen chariots</w:t>
            </w:r>
          </w:p>
        </w:tc>
        <w:tc>
          <w:tcPr>
            <w:tcW w:type="dxa" w:w="3552"/>
            <w:vAlign w:val="top"/>
          </w:tcPr>
          <w:p>
            <w:pPr>
              <w:spacing w:after="0"/>
            </w:pPr>
            <w:r>
              <w:rPr>
                <w:rFonts w:ascii="Times New Roman" w:hAnsi="Times New Roman"/>
                <w:sz w:val="14"/>
              </w:rPr>
              <w:t>Historical military detail; “six = flesh” retained only as Mansfield typology.</w:t>
            </w:r>
          </w:p>
        </w:tc>
      </w:tr>
      <w:tr>
        <w:tc>
          <w:tcPr>
            <w:tcW w:type="dxa" w:w="3552"/>
            <w:vAlign w:val="top"/>
          </w:tcPr>
          <w:p>
            <w:pPr>
              <w:spacing w:after="0"/>
            </w:pPr>
            <w:r>
              <w:rPr>
                <w:rFonts w:ascii="Times New Roman" w:hAnsi="Times New Roman"/>
                <w:sz w:val="14"/>
              </w:rPr>
              <w:t>Ex. 14:8</w:t>
            </w:r>
          </w:p>
        </w:tc>
        <w:tc>
          <w:tcPr>
            <w:tcW w:type="dxa" w:w="3552"/>
            <w:vAlign w:val="top"/>
          </w:tcPr>
          <w:p>
            <w:pPr>
              <w:spacing w:after="0"/>
            </w:pPr>
            <w:r>
              <w:rPr>
                <w:rFonts w:ascii="Times New Roman" w:hAnsi="Times New Roman"/>
                <w:sz w:val="14"/>
              </w:rPr>
              <w:t>beyad ramah</w:t>
            </w:r>
          </w:p>
        </w:tc>
        <w:tc>
          <w:tcPr>
            <w:tcW w:type="dxa" w:w="3552"/>
            <w:vAlign w:val="top"/>
          </w:tcPr>
          <w:p>
            <w:pPr>
              <w:spacing w:after="0"/>
            </w:pPr>
            <w:r>
              <w:rPr>
                <w:rFonts w:ascii="Times New Roman" w:hAnsi="Times New Roman"/>
                <w:sz w:val="14"/>
              </w:rPr>
              <w:t>With a high/uplifted hand; boldly/openly.</w:t>
            </w:r>
          </w:p>
        </w:tc>
      </w:tr>
      <w:tr>
        <w:tc>
          <w:tcPr>
            <w:tcW w:type="dxa" w:w="3552"/>
            <w:vAlign w:val="top"/>
          </w:tcPr>
          <w:p>
            <w:pPr>
              <w:spacing w:after="0"/>
            </w:pPr>
            <w:r>
              <w:rPr>
                <w:rFonts w:ascii="Times New Roman" w:hAnsi="Times New Roman"/>
                <w:sz w:val="14"/>
              </w:rPr>
              <w:t>Ex. 14:13</w:t>
            </w:r>
          </w:p>
        </w:tc>
        <w:tc>
          <w:tcPr>
            <w:tcW w:type="dxa" w:w="3552"/>
            <w:vAlign w:val="top"/>
          </w:tcPr>
          <w:p>
            <w:pPr>
              <w:spacing w:after="0"/>
            </w:pPr>
            <w:r>
              <w:rPr>
                <w:rFonts w:ascii="Times New Roman" w:hAnsi="Times New Roman"/>
                <w:sz w:val="14"/>
              </w:rPr>
              <w:t>yeshu‘ah</w:t>
            </w:r>
          </w:p>
        </w:tc>
        <w:tc>
          <w:tcPr>
            <w:tcW w:type="dxa" w:w="3552"/>
            <w:vAlign w:val="top"/>
          </w:tcPr>
          <w:p>
            <w:pPr>
              <w:spacing w:after="0"/>
            </w:pPr>
            <w:r>
              <w:rPr>
                <w:rFonts w:ascii="Times New Roman" w:hAnsi="Times New Roman"/>
                <w:sz w:val="14"/>
              </w:rPr>
              <w:t>Salvation/deliverance.</w:t>
            </w:r>
          </w:p>
        </w:tc>
      </w:tr>
      <w:tr>
        <w:tc>
          <w:tcPr>
            <w:tcW w:type="dxa" w:w="3552"/>
            <w:vAlign w:val="top"/>
          </w:tcPr>
          <w:p>
            <w:pPr>
              <w:spacing w:after="0"/>
            </w:pPr>
            <w:r>
              <w:rPr>
                <w:rFonts w:ascii="Times New Roman" w:hAnsi="Times New Roman"/>
                <w:sz w:val="14"/>
              </w:rPr>
              <w:t>Ex. 14:14</w:t>
            </w:r>
          </w:p>
        </w:tc>
        <w:tc>
          <w:tcPr>
            <w:tcW w:type="dxa" w:w="3552"/>
            <w:vAlign w:val="top"/>
          </w:tcPr>
          <w:p>
            <w:pPr>
              <w:spacing w:after="0"/>
            </w:pPr>
            <w:r>
              <w:rPr>
                <w:rFonts w:ascii="Times New Roman" w:hAnsi="Times New Roman"/>
                <w:sz w:val="14"/>
              </w:rPr>
              <w:t>charash</w:t>
            </w:r>
          </w:p>
        </w:tc>
        <w:tc>
          <w:tcPr>
            <w:tcW w:type="dxa" w:w="3552"/>
            <w:vAlign w:val="top"/>
          </w:tcPr>
          <w:p>
            <w:pPr>
              <w:spacing w:after="0"/>
            </w:pPr>
            <w:r>
              <w:rPr>
                <w:rFonts w:ascii="Times New Roman" w:hAnsi="Times New Roman"/>
                <w:sz w:val="14"/>
              </w:rPr>
              <w:t>Be silent/hold peace; not permanent passivity.</w:t>
            </w:r>
          </w:p>
        </w:tc>
      </w:tr>
      <w:tr>
        <w:tc>
          <w:tcPr>
            <w:tcW w:type="dxa" w:w="3552"/>
            <w:vAlign w:val="top"/>
          </w:tcPr>
          <w:p>
            <w:pPr>
              <w:spacing w:after="0"/>
            </w:pPr>
            <w:r>
              <w:rPr>
                <w:rFonts w:ascii="Times New Roman" w:hAnsi="Times New Roman"/>
                <w:sz w:val="14"/>
              </w:rPr>
              <w:t>Ex. 14:16,22</w:t>
            </w:r>
          </w:p>
        </w:tc>
        <w:tc>
          <w:tcPr>
            <w:tcW w:type="dxa" w:w="3552"/>
            <w:vAlign w:val="top"/>
          </w:tcPr>
          <w:p>
            <w:pPr>
              <w:spacing w:after="0"/>
            </w:pPr>
            <w:r>
              <w:rPr>
                <w:rFonts w:ascii="Times New Roman" w:hAnsi="Times New Roman"/>
                <w:sz w:val="14"/>
              </w:rPr>
              <w:t>yabashah</w:t>
            </w:r>
          </w:p>
        </w:tc>
        <w:tc>
          <w:tcPr>
            <w:tcW w:type="dxa" w:w="3552"/>
            <w:vAlign w:val="top"/>
          </w:tcPr>
          <w:p>
            <w:pPr>
              <w:spacing w:after="0"/>
            </w:pPr>
            <w:r>
              <w:rPr>
                <w:rFonts w:ascii="Times New Roman" w:hAnsi="Times New Roman"/>
                <w:sz w:val="14"/>
              </w:rPr>
              <w:t>Dry land/dry ground, confirmed by Heb. 11:29.</w:t>
            </w:r>
          </w:p>
        </w:tc>
      </w:tr>
      <w:tr>
        <w:tc>
          <w:tcPr>
            <w:tcW w:type="dxa" w:w="3552"/>
            <w:vAlign w:val="top"/>
          </w:tcPr>
          <w:p>
            <w:pPr>
              <w:spacing w:after="0"/>
            </w:pPr>
            <w:r>
              <w:rPr>
                <w:rFonts w:ascii="Times New Roman" w:hAnsi="Times New Roman"/>
                <w:sz w:val="14"/>
              </w:rPr>
              <w:t>Ex. 14:19–20</w:t>
            </w:r>
          </w:p>
        </w:tc>
        <w:tc>
          <w:tcPr>
            <w:tcW w:type="dxa" w:w="3552"/>
            <w:vAlign w:val="top"/>
          </w:tcPr>
          <w:p>
            <w:pPr>
              <w:spacing w:after="0"/>
            </w:pPr>
            <w:r>
              <w:rPr>
                <w:rFonts w:ascii="Times New Roman" w:hAnsi="Times New Roman"/>
                <w:sz w:val="14"/>
              </w:rPr>
              <w:t>cloud: darkness/light</w:t>
            </w:r>
          </w:p>
        </w:tc>
        <w:tc>
          <w:tcPr>
            <w:tcW w:type="dxa" w:w="3552"/>
            <w:vAlign w:val="top"/>
          </w:tcPr>
          <w:p>
            <w:pPr>
              <w:spacing w:after="0"/>
            </w:pPr>
            <w:r>
              <w:rPr>
                <w:rFonts w:ascii="Times New Roman" w:hAnsi="Times New Roman"/>
                <w:sz w:val="14"/>
              </w:rPr>
              <w:t>Compact Hebrew; narrative clearly presents separation and protection.</w:t>
            </w:r>
          </w:p>
        </w:tc>
      </w:tr>
      <w:tr>
        <w:tc>
          <w:tcPr>
            <w:tcW w:type="dxa" w:w="3552"/>
            <w:vAlign w:val="top"/>
          </w:tcPr>
          <w:p>
            <w:pPr>
              <w:spacing w:after="0"/>
            </w:pPr>
            <w:r>
              <w:rPr>
                <w:rFonts w:ascii="Times New Roman" w:hAnsi="Times New Roman"/>
                <w:sz w:val="14"/>
              </w:rPr>
              <w:t>Ex. 14:21</w:t>
            </w:r>
          </w:p>
        </w:tc>
        <w:tc>
          <w:tcPr>
            <w:tcW w:type="dxa" w:w="3552"/>
            <w:vAlign w:val="top"/>
          </w:tcPr>
          <w:p>
            <w:pPr>
              <w:spacing w:after="0"/>
            </w:pPr>
            <w:r>
              <w:rPr>
                <w:rFonts w:ascii="Times New Roman" w:hAnsi="Times New Roman"/>
                <w:sz w:val="14"/>
              </w:rPr>
              <w:t>ruach qadim ‘azzah</w:t>
            </w:r>
          </w:p>
        </w:tc>
        <w:tc>
          <w:tcPr>
            <w:tcW w:type="dxa" w:w="3552"/>
            <w:vAlign w:val="top"/>
          </w:tcPr>
          <w:p>
            <w:pPr>
              <w:spacing w:after="0"/>
            </w:pPr>
            <w:r>
              <w:rPr>
                <w:rFonts w:ascii="Times New Roman" w:hAnsi="Times New Roman"/>
                <w:sz w:val="14"/>
              </w:rPr>
              <w:t>Strong east wind under Yahweh’s control throughout the night.</w:t>
            </w:r>
          </w:p>
        </w:tc>
      </w:tr>
      <w:tr>
        <w:tc>
          <w:tcPr>
            <w:tcW w:type="dxa" w:w="3552"/>
            <w:vAlign w:val="top"/>
          </w:tcPr>
          <w:p>
            <w:pPr>
              <w:spacing w:after="0"/>
            </w:pPr>
            <w:r>
              <w:rPr>
                <w:rFonts w:ascii="Times New Roman" w:hAnsi="Times New Roman"/>
                <w:sz w:val="14"/>
              </w:rPr>
              <w:t>Ex. 14:21–22</w:t>
            </w:r>
          </w:p>
        </w:tc>
        <w:tc>
          <w:tcPr>
            <w:tcW w:type="dxa" w:w="3552"/>
            <w:vAlign w:val="top"/>
          </w:tcPr>
          <w:p>
            <w:pPr>
              <w:spacing w:after="0"/>
            </w:pPr>
            <w:r>
              <w:rPr>
                <w:rFonts w:ascii="Times New Roman" w:hAnsi="Times New Roman"/>
                <w:sz w:val="14"/>
              </w:rPr>
              <w:t>Psa. 77:16–20; 106:9–12</w:t>
            </w:r>
          </w:p>
        </w:tc>
        <w:tc>
          <w:tcPr>
            <w:tcW w:type="dxa" w:w="3552"/>
            <w:vAlign w:val="top"/>
          </w:tcPr>
          <w:p>
            <w:pPr>
              <w:spacing w:after="0"/>
            </w:pPr>
            <w:r>
              <w:rPr>
                <w:rFonts w:ascii="Times New Roman" w:hAnsi="Times New Roman"/>
                <w:sz w:val="14"/>
              </w:rPr>
              <w:t>Later Scripture remembers the crossing as Yahweh’s miraculous act.</w:t>
            </w:r>
          </w:p>
        </w:tc>
      </w:tr>
      <w:tr>
        <w:tc>
          <w:tcPr>
            <w:tcW w:type="dxa" w:w="3552"/>
            <w:vAlign w:val="top"/>
          </w:tcPr>
          <w:p>
            <w:pPr>
              <w:spacing w:after="0"/>
            </w:pPr>
            <w:r>
              <w:rPr>
                <w:rFonts w:ascii="Times New Roman" w:hAnsi="Times New Roman"/>
                <w:sz w:val="14"/>
              </w:rPr>
              <w:t>Ex. 14:25</w:t>
            </w:r>
          </w:p>
        </w:tc>
        <w:tc>
          <w:tcPr>
            <w:tcW w:type="dxa" w:w="3552"/>
            <w:vAlign w:val="top"/>
          </w:tcPr>
          <w:p>
            <w:pPr>
              <w:spacing w:after="0"/>
            </w:pPr>
            <w:r>
              <w:rPr>
                <w:rFonts w:ascii="Times New Roman" w:hAnsi="Times New Roman"/>
                <w:sz w:val="14"/>
              </w:rPr>
              <w:t>chariot wheels</w:t>
            </w:r>
          </w:p>
        </w:tc>
        <w:tc>
          <w:tcPr>
            <w:tcW w:type="dxa" w:w="3552"/>
            <w:vAlign w:val="top"/>
          </w:tcPr>
          <w:p>
            <w:pPr>
              <w:spacing w:after="0"/>
            </w:pPr>
            <w:r>
              <w:rPr>
                <w:rFonts w:ascii="Times New Roman" w:hAnsi="Times New Roman"/>
                <w:sz w:val="14"/>
              </w:rPr>
              <w:t>Removed/displaced or made to drive heavily; exact mechanical wording has textual difficulty.</w:t>
            </w:r>
          </w:p>
        </w:tc>
      </w:tr>
      <w:tr>
        <w:tc>
          <w:tcPr>
            <w:tcW w:type="dxa" w:w="3552"/>
            <w:vAlign w:val="top"/>
          </w:tcPr>
          <w:p>
            <w:pPr>
              <w:spacing w:after="0"/>
            </w:pPr>
            <w:r>
              <w:rPr>
                <w:rFonts w:ascii="Times New Roman" w:hAnsi="Times New Roman"/>
                <w:sz w:val="14"/>
              </w:rPr>
              <w:t>Ex. 14:27</w:t>
            </w:r>
          </w:p>
        </w:tc>
        <w:tc>
          <w:tcPr>
            <w:tcW w:type="dxa" w:w="3552"/>
            <w:vAlign w:val="top"/>
          </w:tcPr>
          <w:p>
            <w:pPr>
              <w:spacing w:after="0"/>
            </w:pPr>
            <w:r>
              <w:rPr>
                <w:rFonts w:ascii="Times New Roman" w:hAnsi="Times New Roman"/>
                <w:sz w:val="14"/>
              </w:rPr>
              <w:t>sea returned to its strength</w:t>
            </w:r>
          </w:p>
        </w:tc>
        <w:tc>
          <w:tcPr>
            <w:tcW w:type="dxa" w:w="3552"/>
            <w:vAlign w:val="top"/>
          </w:tcPr>
          <w:p>
            <w:pPr>
              <w:spacing w:after="0"/>
            </w:pPr>
            <w:r>
              <w:rPr>
                <w:rFonts w:ascii="Times New Roman" w:hAnsi="Times New Roman"/>
                <w:sz w:val="14"/>
              </w:rPr>
              <w:t>Returned to normal force/flow at morning.</w:t>
            </w:r>
          </w:p>
        </w:tc>
      </w:tr>
      <w:tr>
        <w:tc>
          <w:tcPr>
            <w:tcW w:type="dxa" w:w="3552"/>
            <w:vAlign w:val="top"/>
          </w:tcPr>
          <w:p>
            <w:pPr>
              <w:spacing w:after="0"/>
            </w:pPr>
            <w:r>
              <w:rPr>
                <w:rFonts w:ascii="Times New Roman" w:hAnsi="Times New Roman"/>
                <w:sz w:val="14"/>
              </w:rPr>
              <w:t>Ex. 14:28</w:t>
            </w:r>
          </w:p>
        </w:tc>
        <w:tc>
          <w:tcPr>
            <w:tcW w:type="dxa" w:w="3552"/>
            <w:vAlign w:val="top"/>
          </w:tcPr>
          <w:p>
            <w:pPr>
              <w:spacing w:after="0"/>
            </w:pPr>
            <w:r>
              <w:rPr>
                <w:rFonts w:ascii="Times New Roman" w:hAnsi="Times New Roman"/>
                <w:sz w:val="14"/>
              </w:rPr>
              <w:t>none of pursuing force remained</w:t>
            </w:r>
          </w:p>
        </w:tc>
        <w:tc>
          <w:tcPr>
            <w:tcW w:type="dxa" w:w="3552"/>
            <w:vAlign w:val="top"/>
          </w:tcPr>
          <w:p>
            <w:pPr>
              <w:spacing w:after="0"/>
            </w:pPr>
            <w:r>
              <w:rPr>
                <w:rFonts w:ascii="Times New Roman" w:hAnsi="Times New Roman"/>
                <w:sz w:val="14"/>
              </w:rPr>
              <w:t>Does not by itself prove every Egyptian soldier or Pharaoh personally died.</w:t>
            </w:r>
          </w:p>
        </w:tc>
      </w:tr>
      <w:tr>
        <w:tc>
          <w:tcPr>
            <w:tcW w:type="dxa" w:w="3552"/>
            <w:vAlign w:val="top"/>
          </w:tcPr>
          <w:p>
            <w:pPr>
              <w:spacing w:after="0"/>
            </w:pPr>
            <w:r>
              <w:rPr>
                <w:rFonts w:ascii="Times New Roman" w:hAnsi="Times New Roman"/>
                <w:sz w:val="14"/>
              </w:rPr>
              <w:t>Ex. 14:31</w:t>
            </w:r>
          </w:p>
        </w:tc>
        <w:tc>
          <w:tcPr>
            <w:tcW w:type="dxa" w:w="3552"/>
            <w:vAlign w:val="top"/>
          </w:tcPr>
          <w:p>
            <w:pPr>
              <w:spacing w:after="0"/>
            </w:pPr>
            <w:r>
              <w:rPr>
                <w:rFonts w:ascii="Times New Roman" w:hAnsi="Times New Roman"/>
                <w:sz w:val="14"/>
              </w:rPr>
              <w:t>great hand/work</w:t>
            </w:r>
          </w:p>
        </w:tc>
        <w:tc>
          <w:tcPr>
            <w:tcW w:type="dxa" w:w="3552"/>
            <w:vAlign w:val="top"/>
          </w:tcPr>
          <w:p>
            <w:pPr>
              <w:spacing w:after="0"/>
            </w:pPr>
            <w:r>
              <w:rPr>
                <w:rFonts w:ascii="Times New Roman" w:hAnsi="Times New Roman"/>
                <w:sz w:val="14"/>
              </w:rPr>
              <w:t>Israel sees Yahweh’s mighty act and believes Yahweh and Moses.</w:t>
            </w:r>
          </w:p>
        </w:tc>
      </w:tr>
      <w:tr>
        <w:tc>
          <w:tcPr>
            <w:tcW w:type="dxa" w:w="3552"/>
            <w:vAlign w:val="top"/>
          </w:tcPr>
          <w:p>
            <w:pPr>
              <w:spacing w:after="0"/>
            </w:pPr>
            <w:r>
              <w:rPr>
                <w:rFonts w:ascii="Times New Roman" w:hAnsi="Times New Roman"/>
                <w:sz w:val="14"/>
              </w:rPr>
              <w:t>1 Cor. 10:1–2</w:t>
            </w:r>
          </w:p>
        </w:tc>
        <w:tc>
          <w:tcPr>
            <w:tcW w:type="dxa" w:w="3552"/>
            <w:vAlign w:val="top"/>
          </w:tcPr>
          <w:p>
            <w:pPr>
              <w:spacing w:after="0"/>
            </w:pPr>
            <w:r>
              <w:rPr>
                <w:rFonts w:ascii="Times New Roman" w:hAnsi="Times New Roman"/>
                <w:sz w:val="14"/>
              </w:rPr>
              <w:t>baptised unto Moses</w:t>
            </w:r>
          </w:p>
        </w:tc>
        <w:tc>
          <w:tcPr>
            <w:tcW w:type="dxa" w:w="3552"/>
            <w:vAlign w:val="top"/>
          </w:tcPr>
          <w:p>
            <w:pPr>
              <w:spacing w:after="0"/>
            </w:pPr>
            <w:r>
              <w:rPr>
                <w:rFonts w:ascii="Times New Roman" w:hAnsi="Times New Roman"/>
                <w:sz w:val="14"/>
              </w:rPr>
              <w:t>Explicit apostolic baptismal interpretation of cloud and sea.</w:t>
            </w:r>
          </w:p>
        </w:tc>
      </w:tr>
    </w:tbl>
    <w:p>
      <w:pPr>
        <w:pStyle w:val="Heading1"/>
      </w:pPr>
      <w:r>
        <w:t>RESIDUAL UNCERTAINTIES</w:t>
      </w:r>
    </w:p>
    <w:p>
      <w:pPr/>
      <w:r>
        <w:rPr>
          <w:i w:val="0"/>
        </w:rPr>
        <w:t>The exact crossing site and the locations/etymologies of Pi-hahiroth, Migdol and Baal-zephon cannot be established securely from the available evidence. The exact mechanical wording concerning the chariot wheels in verse 25 also has textual difficulty. Mansfield’s preferred Ras Attakah route and some number symbolism are therefore retained only as historical or typological proposals, not as certain readings.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