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16</w:t>
      </w:r>
    </w:p>
    <w:p>
      <w:pPr>
        <w:pStyle w:val="Subtitle"/>
      </w:pPr>
      <w:r>
        <w:t>BREAD FROM HEAVEN • DAILY DEPENDENCE • MANNA AS TEST • SABBATH PROVISION • THE MEMORIAL OMER • FORTY YEARS</w:t>
      </w:r>
    </w:p>
    <w:p>
      <w:pPr/>
      <w:r>
        <w:rPr>
          <w:i/>
        </w:rPr>
        <w:t>H. P. Mansfield Bible notes — checked and arranged in verse-by-verse Expositor style</w:t>
      </w:r>
    </w:p>
    <w:p>
      <w:pPr/>
      <w:r>
        <w:rPr>
          <w:i w:val="0"/>
        </w:rPr>
        <w:t>Source: HPB 02-Gen42-Lev11.pdf, principally Exodus 16 photographed pages 40–44</w:t>
      </w:r>
    </w:p>
    <w:p>
      <w:pPr>
        <w:pStyle w:val="Heading1"/>
      </w:pPr>
      <w:r>
        <w:t>CHAPTER OVERVIEW</w:t>
      </w:r>
    </w:p>
    <w:p>
      <w:pPr/>
      <w:r>
        <w:rPr>
          <w:i w:val="0"/>
        </w:rPr>
        <w:t>Exodus 16 is education after redemption. Hunger exposes the people’s continuing distrust, and Yahweh answers not merely with food but with a disciplined pattern of daily gathering, measured sufficiency, sixth-day preparation and seventh-day rest. The manna is therefore both provision and test: “that I may prove them, whether they will walk in my law, or no.”</w:t>
      </w:r>
    </w:p>
    <w:p>
      <w:pPr/>
      <w:r>
        <w:rPr>
          <w:i w:val="0"/>
        </w:rPr>
        <w:t>The chapter also becomes foundational for later Scripture. John 6 interprets the manna in relation to Christ as the true bread from heaven, while Paul quotes Exodus 16:18 in 2 Corinthians 8:15 to illustrate sufficiency without one having excess while another lacks.</w:t>
      </w:r>
    </w:p>
    <w:p>
      <w:pPr>
        <w:pStyle w:val="Heading1"/>
      </w:pPr>
      <w:r>
        <w:t>HUNGER IN THE WILDERNESS — EXODUS 16:1–3</w:t>
      </w:r>
    </w:p>
    <w:p>
      <w:pPr>
        <w:pStyle w:val="Heading2"/>
      </w:pPr>
      <w:r>
        <w:t>Exodus 16:1 — the fifteenth day of the second month</w:t>
      </w:r>
    </w:p>
    <w:p>
      <w:pPr/>
      <w:r>
        <w:rPr>
          <w:i w:val="0"/>
        </w:rPr>
        <w:t>Israel travels from Elim into the Wilderness of Sin, between Elim and Sinai, on the fifteenth day of the second month after leaving Egypt. The exact route and ancient location of this wilderness remain debated. The place-name Sin is unrelated to the English word “sin”; attempts to derive Sin/Sinai confidently from a Hebrew word for bush are uncertain.</w:t>
      </w:r>
    </w:p>
    <w:p>
      <w:pPr/>
      <w:r>
        <w:rPr>
          <w:i w:val="0"/>
        </w:rPr>
        <w:t>The date is explicit, but Mansfield’s reconstruction of exact weekdays depends on assuming a fixed thirty-day month and other chronological premises not stated in the text. Ancient Israelite months were lunar and could vary in length, so the weekday scheme should not be treated as established.</w:t>
      </w:r>
    </w:p>
    <w:p>
      <w:pPr>
        <w:pStyle w:val="Heading2"/>
      </w:pPr>
      <w:r>
        <w:t>Exodus 16:2–3 — bondage remembered as abundance</w:t>
      </w:r>
    </w:p>
    <w:p>
      <w:pPr/>
      <w:r>
        <w:rPr>
          <w:i w:val="0"/>
        </w:rPr>
        <w:t>The whole congregation murmurs against Moses and Aaron. “Would to God we had died” is an English idiom; there is no word “God” in the Hebrew clause, which is simply a wish that they had died by Yahweh’s hand in Egypt.</w:t>
      </w:r>
    </w:p>
    <w:p>
      <w:pPr/>
      <w:r>
        <w:rPr>
          <w:i w:val="0"/>
        </w:rPr>
        <w:t>They remember flesh pots and bread to the full while forgetting slavery and their cries for deliverance. Present hunger rewrites the past so that bondage appears secure and freedom appears lethal. Their accusation that Moses and Aaron brought them out to kill the qahal — assembly/congregation — denies Yahweh’s leadership.</w:t>
      </w:r>
    </w:p>
    <w:p>
      <w:pPr>
        <w:pStyle w:val="Heading1"/>
      </w:pPr>
      <w:r>
        <w:t>BREAD FROM HEAVEN AS DAILY TEST — EXODUS 16:4–8</w:t>
      </w:r>
    </w:p>
    <w:p>
      <w:pPr>
        <w:pStyle w:val="Heading2"/>
      </w:pPr>
      <w:r>
        <w:t>Exodus 16:4–5 — “a day’s portion every day”</w:t>
      </w:r>
    </w:p>
    <w:p>
      <w:pPr/>
      <w:r>
        <w:rPr>
          <w:i w:val="0"/>
        </w:rPr>
        <w:t>Yahweh promises to rain bread from heaven. Israel must gather debar-yom beyomo — the matter/portion of a day in its day, a daily ration — so that Yahweh may test whether they will walk in His instruction. On the sixth day they are to gather and prepare a double quantity.</w:t>
      </w:r>
    </w:p>
    <w:p>
      <w:pPr/>
      <w:r>
        <w:rPr>
          <w:i w:val="0"/>
        </w:rPr>
        <w:t>The test is not whether manna exists, but whether Israel will trust enough to obey its limits. Daily dependence, not anxious stockpiling, is built into the provision.</w:t>
      </w:r>
    </w:p>
    <w:p>
      <w:pPr>
        <w:pStyle w:val="Heading2"/>
      </w:pPr>
      <w:r>
        <w:t>Exodus 16:6–8 — murmuring against Yahweh</w:t>
      </w:r>
    </w:p>
    <w:p>
      <w:pPr/>
      <w:r>
        <w:rPr>
          <w:i w:val="0"/>
        </w:rPr>
        <w:t>Moses and Aaron answer the accusation directly: evening flesh and morning bread will prove that Yahweh, not Moses, brought Israel from Egypt. “What are we?” Their authority is representative, not self-derived. Murmuring against the servants while they faithfully communicate Yahweh’s command is ultimately murmuring against Yahweh.</w:t>
      </w:r>
    </w:p>
    <w:p>
      <w:pPr>
        <w:pStyle w:val="Heading1"/>
      </w:pPr>
      <w:r>
        <w:t>GLORY, QUAILS AND MANNA — EXODUS 16:9–15</w:t>
      </w:r>
    </w:p>
    <w:p>
      <w:pPr>
        <w:pStyle w:val="Heading2"/>
      </w:pPr>
      <w:r>
        <w:t>Exodus 16:9–12 — glory appears in the cloud</w:t>
      </w:r>
    </w:p>
    <w:p>
      <w:pPr/>
      <w:r>
        <w:rPr>
          <w:i w:val="0"/>
        </w:rPr>
        <w:t>Aaron calls the congregation near, and as they look toward the wilderness the glory of Yahweh appears in the cloud. Yahweh has heard their murmuring and promises flesh at evening and bread in the morning, “and ye shall know that I am Yahweh your God.” Provision becomes another revelation of the Name.</w:t>
      </w:r>
    </w:p>
    <w:p>
      <w:pPr>
        <w:pStyle w:val="Heading2"/>
      </w:pPr>
      <w:r>
        <w:t>Exodus 16:13 — quails at evening</w:t>
      </w:r>
    </w:p>
    <w:p>
      <w:pPr/>
      <w:r>
        <w:rPr>
          <w:i w:val="0"/>
        </w:rPr>
        <w:t>Quails — Hebrew selav — come up and cover the camp, while dew lies around it in the morning. The text treats the birds as Yahweh’s provision. Natural migratory behaviour, where relevant, does not explain away the timing and scale attributed to Him.</w:t>
      </w:r>
    </w:p>
    <w:p>
      <w:pPr>
        <w:pStyle w:val="Heading2"/>
      </w:pPr>
      <w:r>
        <w:t>Exodus 16:14–15 — “What is it?”</w:t>
      </w:r>
    </w:p>
    <w:p>
      <w:pPr/>
      <w:r>
        <w:rPr>
          <w:i w:val="0"/>
        </w:rPr>
        <w:t>When the dew evaporates, a fine flake-like substance is left on the ground, fine as frost. The rare word mehuspas behind the KJV “small round thing” is uncertain; “fine/flaky” is safer than insisting on a spherical shape.</w:t>
      </w:r>
    </w:p>
    <w:p>
      <w:pPr/>
      <w:r>
        <w:rPr>
          <w:i w:val="0"/>
        </w:rPr>
        <w:t>Israel asks, man hu? — “What is it?” — and the food becomes known as man/manna. Moses identifies it without ambiguity: “This is the bread which Yahweh hath given you to eat.” John 6:31–35 later contrasts the wilderness manna with Christ as the true bread from heaven giving enduring life.</w:t>
      </w:r>
    </w:p>
    <w:p>
      <w:pPr>
        <w:pStyle w:val="Heading1"/>
      </w:pPr>
      <w:r>
        <w:t>AN OMER FOR EACH PERSON — EXODUS 16:16–21</w:t>
      </w:r>
    </w:p>
    <w:p>
      <w:pPr>
        <w:pStyle w:val="Heading2"/>
      </w:pPr>
      <w:r>
        <w:t>Exodus 16:16–18 — enough without excess or lack</w:t>
      </w:r>
    </w:p>
    <w:p>
      <w:pPr/>
      <w:r>
        <w:rPr>
          <w:i w:val="0"/>
        </w:rPr>
        <w:t>Each household gathers according to the number of persons, an omer per head. The word gulgoleth literally means skull/head and functions idiomatically for a person counted. Some gather much, others little, but when measured there is neither surplus nor deficiency.</w:t>
      </w:r>
    </w:p>
    <w:p>
      <w:pPr/>
      <w:r>
        <w:rPr>
          <w:i w:val="0"/>
        </w:rPr>
        <w:t>Paul quotes this exact principle in 2 Corinthians 8:15 when teaching material equality and mutual provision: “He that had gathered much had nothing over; and he that had gathered little had no lack.”</w:t>
      </w:r>
    </w:p>
    <w:p>
      <w:pPr>
        <w:pStyle w:val="Heading2"/>
      </w:pPr>
      <w:r>
        <w:t>Exodus 16:19–21 — hoarding contrary to command</w:t>
      </w:r>
    </w:p>
    <w:p>
      <w:pPr/>
      <w:r>
        <w:rPr>
          <w:i w:val="0"/>
        </w:rPr>
        <w:t>Moses forbids ordinary overnight storage. Some disobey; the retained manna develops rimmah — worms/maggots — and stinks. Manna must be gathered morning by morning, and when the sun grows hot it melts.</w:t>
      </w:r>
    </w:p>
    <w:p>
      <w:pPr/>
      <w:r>
        <w:rPr>
          <w:i w:val="0"/>
        </w:rPr>
        <w:t>The lesson is not that saving for tomorrow is inherently sinful. The specific wrong is refusing Yahweh’s command in a situation deliberately designed to teach daily trust.</w:t>
      </w:r>
    </w:p>
    <w:p>
      <w:pPr>
        <w:pStyle w:val="Heading1"/>
      </w:pPr>
      <w:r>
        <w:t>THE SABBATH PROVISION — EXODUS 16:22–30</w:t>
      </w:r>
    </w:p>
    <w:p>
      <w:pPr>
        <w:pStyle w:val="Heading2"/>
      </w:pPr>
      <w:r>
        <w:t>Exodus 16:22–24 — the sixth-day double portion</w:t>
      </w:r>
    </w:p>
    <w:p>
      <w:pPr/>
      <w:r>
        <w:rPr>
          <w:i w:val="0"/>
        </w:rPr>
        <w:t>On the sixth day Israel gathers twice as much. Moses explains that the next day is shabbathon shabbat-qodesh laYahweh — a solemn rest, a holy sabbath to Yahweh. What is to be baked or boiled is prepared, and the remainder is kept for the seventh day.</w:t>
      </w:r>
    </w:p>
    <w:p>
      <w:pPr/>
      <w:r>
        <w:rPr>
          <w:i w:val="0"/>
        </w:rPr>
        <w:t>The same overnight retention that corrupted in verses 19–20 now remains sound because Yahweh commands it. Faithfulness lies in obedience to the command, not in the physical act considered by itself.</w:t>
      </w:r>
    </w:p>
    <w:p>
      <w:pPr>
        <w:pStyle w:val="Heading2"/>
      </w:pPr>
      <w:r>
        <w:t>Exodus 16:25–30 — Sabbath as gift</w:t>
      </w:r>
    </w:p>
    <w:p>
      <w:pPr/>
      <w:r>
        <w:rPr>
          <w:i w:val="0"/>
        </w:rPr>
        <w:t>No manna is found in the field on the seventh day, yet some still go out to gather. Yahweh asks how long they will refuse His commandments and instructions. The Sabbath is described as something Yahweh has “given” Israel, and therefore He gives two days’ bread on the sixth day.</w:t>
      </w:r>
    </w:p>
    <w:p>
      <w:pPr/>
      <w:r>
        <w:rPr>
          <w:i w:val="0"/>
        </w:rPr>
        <w:t>“The people rested on the seventh day.” The chapter shows practical Sabbath observance before the public proclamation of the Decalogue in Exodus 20. It does not mean the seventh-day principle had no earlier theological foundation; Genesis 2:2–3 already gives the creation pattern.</w:t>
      </w:r>
    </w:p>
    <w:p>
      <w:pPr>
        <w:pStyle w:val="Heading1"/>
      </w:pPr>
      <w:r>
        <w:t>MANNA DESCRIBED AND PRESERVED — EXODUS 16:31–36</w:t>
      </w:r>
    </w:p>
    <w:p>
      <w:pPr>
        <w:pStyle w:val="Heading2"/>
      </w:pPr>
      <w:r>
        <w:t>Exodus 16:31 — coriander seed, white, honey-like</w:t>
      </w:r>
    </w:p>
    <w:p>
      <w:pPr/>
      <w:r>
        <w:rPr>
          <w:i w:val="0"/>
        </w:rPr>
        <w:t>The house of Israel names the food manna. It is compared with gad, coriander seed, is white, and tastes like a thin cake/wafer with honey. Numbers 11:7–9 later adds further descriptive and preparation details.</w:t>
      </w:r>
    </w:p>
    <w:p>
      <w:pPr>
        <w:pStyle w:val="Heading2"/>
      </w:pPr>
      <w:r>
        <w:t>Exodus 16:32–34 — a memorial before Yahweh</w:t>
      </w:r>
    </w:p>
    <w:p>
      <w:pPr/>
      <w:r>
        <w:rPr>
          <w:i w:val="0"/>
        </w:rPr>
        <w:t>An omer is to be preserved for future generations so they may see the bread with which Yahweh fed Israel in the wilderness. Aaron places it in a tsintsenet — jar/container — before Yahweh, later described as “before the Testimony.” Because the Testimony/tabernacle arrangements are formally given later, verses 33–34 function naturally as a retrospective summary of how Moses’ command was ultimately carried out.</w:t>
      </w:r>
    </w:p>
    <w:p>
      <w:pPr/>
      <w:r>
        <w:rPr>
          <w:i w:val="0"/>
        </w:rPr>
        <w:t>Hebrews 9:4 refers to a golden pot containing manna. That later description complements the memorial tradition but should not be used to force the ordinary Hebrew noun tsintsenet itself to mean “golden pot.”</w:t>
      </w:r>
    </w:p>
    <w:p>
      <w:pPr>
        <w:pStyle w:val="Heading2"/>
      </w:pPr>
      <w:r>
        <w:t>Exodus 16:35–36 — forty years; omer and ephah</w:t>
      </w:r>
    </w:p>
    <w:p>
      <w:pPr/>
      <w:r>
        <w:rPr>
          <w:i w:val="0"/>
        </w:rPr>
        <w:t>Israel eats manna for forty years until reaching the inhabited land at the border of Canaan. Joshua 5:12 records its cessation after Israel eats the produce of the land. The provision therefore spans the wilderness generation rather than a short emergency.</w:t>
      </w:r>
    </w:p>
    <w:p>
      <w:pPr/>
      <w:r>
        <w:rPr>
          <w:i w:val="0"/>
        </w:rPr>
        <w:t>An omer is defined as one tenth of an ephah. The verse gives the relationship explicitly; attempts to convert it into an exact modern volume vary because ancient capacity standards are not perfectly recoverable.</w:t>
      </w:r>
    </w:p>
    <w:p>
      <w:pPr>
        <w:pStyle w:val="Heading1"/>
      </w:pPr>
      <w:r>
        <w:t>MANNA AND CHRIST</w:t>
      </w:r>
    </w:p>
    <w:p>
      <w:pPr/>
      <w:r>
        <w:rPr>
          <w:i w:val="0"/>
        </w:rPr>
        <w:t>Mansfield’s typology is directly grounded in John 6. Jesus recalls the manna and declares that his Father gives the true bread from heaven, culminating in “I am the bread of life” (John 6:32–35). The typology should follow Jesus’ own emphasis: manna sustained mortal wilderness life temporarily; Christ is the God-given bread through whom enduring life is offered.</w:t>
      </w:r>
    </w:p>
    <w:p>
      <w:pPr>
        <w:pStyle w:val="Heading1"/>
      </w:pPr>
      <w:r>
        <w:t>PRINCIPAL THEMES</w:t>
      </w:r>
    </w:p>
    <w:p>
      <w:pPr>
        <w:ind w:left="259" w:hanging="202"/>
      </w:pPr>
      <w:r>
        <w:rPr>
          <w:b/>
        </w:rPr>
        <w:t xml:space="preserve">• </w:t>
      </w:r>
      <w:r>
        <w:t>Redemption is followed by education in daily dependence.</w:t>
      </w:r>
    </w:p>
    <w:p>
      <w:pPr>
        <w:ind w:left="259" w:hanging="202"/>
      </w:pPr>
      <w:r>
        <w:rPr>
          <w:b/>
        </w:rPr>
        <w:t xml:space="preserve">• </w:t>
      </w:r>
      <w:r>
        <w:t>Fearful nostalgia can misremember bondage as security.</w:t>
      </w:r>
    </w:p>
    <w:p>
      <w:pPr>
        <w:ind w:left="259" w:hanging="202"/>
      </w:pPr>
      <w:r>
        <w:rPr>
          <w:b/>
        </w:rPr>
        <w:t xml:space="preserve">• </w:t>
      </w:r>
      <w:r>
        <w:t>Manna is both gracious food and an obedience test.</w:t>
      </w:r>
    </w:p>
    <w:p>
      <w:pPr>
        <w:ind w:left="259" w:hanging="202"/>
      </w:pPr>
      <w:r>
        <w:rPr>
          <w:b/>
        </w:rPr>
        <w:t xml:space="preserve">• </w:t>
      </w:r>
      <w:r>
        <w:t>Daily provision teaches trust rather than anxious self-protection.</w:t>
      </w:r>
    </w:p>
    <w:p>
      <w:pPr>
        <w:ind w:left="259" w:hanging="202"/>
      </w:pPr>
      <w:r>
        <w:rPr>
          <w:b/>
        </w:rPr>
        <w:t xml:space="preserve">• </w:t>
      </w:r>
      <w:r>
        <w:t>The same act of storing is wrong or right according to Yahweh’s command.</w:t>
      </w:r>
    </w:p>
    <w:p>
      <w:pPr>
        <w:ind w:left="259" w:hanging="202"/>
      </w:pPr>
      <w:r>
        <w:rPr>
          <w:b/>
        </w:rPr>
        <w:t xml:space="preserve">• </w:t>
      </w:r>
      <w:r>
        <w:t>Sabbath rest is enabled by Yahweh’s prior provision.</w:t>
      </w:r>
    </w:p>
    <w:p>
      <w:pPr>
        <w:ind w:left="259" w:hanging="202"/>
      </w:pPr>
      <w:r>
        <w:rPr>
          <w:b/>
        </w:rPr>
        <w:t xml:space="preserve">• </w:t>
      </w:r>
      <w:r>
        <w:t>The manna becomes an explicit New Testament type of Christ, the true bread from heaven.</w:t>
      </w:r>
    </w:p>
    <w:p>
      <w:pPr>
        <w:ind w:left="259" w:hanging="202"/>
      </w:pPr>
      <w:r>
        <w:rPr>
          <w:b/>
        </w:rPr>
        <w:t xml:space="preserve">• </w:t>
      </w:r>
      <w:r>
        <w:t>A memorial portion teaches later generations to remember sustaining grace.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16:1</w:t>
            </w:r>
          </w:p>
        </w:tc>
        <w:tc>
          <w:tcPr>
            <w:tcW w:type="dxa" w:w="3552"/>
            <w:vAlign w:val="top"/>
          </w:tcPr>
          <w:p>
            <w:pPr>
              <w:spacing w:after="0"/>
            </w:pPr>
            <w:r>
              <w:rPr>
                <w:rFonts w:ascii="Times New Roman" w:hAnsi="Times New Roman"/>
                <w:sz w:val="14"/>
              </w:rPr>
              <w:t>Wilderness of Sin</w:t>
            </w:r>
          </w:p>
        </w:tc>
        <w:tc>
          <w:tcPr>
            <w:tcW w:type="dxa" w:w="3552"/>
            <w:vAlign w:val="top"/>
          </w:tcPr>
          <w:p>
            <w:pPr>
              <w:spacing w:after="0"/>
            </w:pPr>
            <w:r>
              <w:rPr>
                <w:rFonts w:ascii="Times New Roman" w:hAnsi="Times New Roman"/>
                <w:sz w:val="14"/>
              </w:rPr>
              <w:t>Place-name unrelated to English “sin”; bush/Sinai etymologies uncertain.</w:t>
            </w:r>
          </w:p>
        </w:tc>
      </w:tr>
      <w:tr>
        <w:tc>
          <w:tcPr>
            <w:tcW w:type="dxa" w:w="3552"/>
            <w:vAlign w:val="top"/>
          </w:tcPr>
          <w:p>
            <w:pPr>
              <w:spacing w:after="0"/>
            </w:pPr>
            <w:r>
              <w:rPr>
                <w:rFonts w:ascii="Times New Roman" w:hAnsi="Times New Roman"/>
                <w:sz w:val="14"/>
              </w:rPr>
              <w:t>Ex. 16:1</w:t>
            </w:r>
          </w:p>
        </w:tc>
        <w:tc>
          <w:tcPr>
            <w:tcW w:type="dxa" w:w="3552"/>
            <w:vAlign w:val="top"/>
          </w:tcPr>
          <w:p>
            <w:pPr>
              <w:spacing w:after="0"/>
            </w:pPr>
            <w:r>
              <w:rPr>
                <w:rFonts w:ascii="Times New Roman" w:hAnsi="Times New Roman"/>
                <w:sz w:val="14"/>
              </w:rPr>
              <w:t>15th day, second month</w:t>
            </w:r>
          </w:p>
        </w:tc>
        <w:tc>
          <w:tcPr>
            <w:tcW w:type="dxa" w:w="3552"/>
            <w:vAlign w:val="top"/>
          </w:tcPr>
          <w:p>
            <w:pPr>
              <w:spacing w:after="0"/>
            </w:pPr>
            <w:r>
              <w:rPr>
                <w:rFonts w:ascii="Times New Roman" w:hAnsi="Times New Roman"/>
                <w:sz w:val="14"/>
              </w:rPr>
              <w:t>Explicit date; fixed weekday reconstruction not secure.</w:t>
            </w:r>
          </w:p>
        </w:tc>
      </w:tr>
      <w:tr>
        <w:tc>
          <w:tcPr>
            <w:tcW w:type="dxa" w:w="3552"/>
            <w:vAlign w:val="top"/>
          </w:tcPr>
          <w:p>
            <w:pPr>
              <w:spacing w:after="0"/>
            </w:pPr>
            <w:r>
              <w:rPr>
                <w:rFonts w:ascii="Times New Roman" w:hAnsi="Times New Roman"/>
                <w:sz w:val="14"/>
              </w:rPr>
              <w:t>Ex. 16:3</w:t>
            </w:r>
          </w:p>
        </w:tc>
        <w:tc>
          <w:tcPr>
            <w:tcW w:type="dxa" w:w="3552"/>
            <w:vAlign w:val="top"/>
          </w:tcPr>
          <w:p>
            <w:pPr>
              <w:spacing w:after="0"/>
            </w:pPr>
            <w:r>
              <w:rPr>
                <w:rFonts w:ascii="Times New Roman" w:hAnsi="Times New Roman"/>
                <w:sz w:val="14"/>
              </w:rPr>
              <w:t>“Would to God”</w:t>
            </w:r>
          </w:p>
        </w:tc>
        <w:tc>
          <w:tcPr>
            <w:tcW w:type="dxa" w:w="3552"/>
            <w:vAlign w:val="top"/>
          </w:tcPr>
          <w:p>
            <w:pPr>
              <w:spacing w:after="0"/>
            </w:pPr>
            <w:r>
              <w:rPr>
                <w:rFonts w:ascii="Times New Roman" w:hAnsi="Times New Roman"/>
                <w:sz w:val="14"/>
              </w:rPr>
              <w:t>“God” is supplied by English idiom; not present in Hebrew.</w:t>
            </w:r>
          </w:p>
        </w:tc>
      </w:tr>
      <w:tr>
        <w:tc>
          <w:tcPr>
            <w:tcW w:type="dxa" w:w="3552"/>
            <w:vAlign w:val="top"/>
          </w:tcPr>
          <w:p>
            <w:pPr>
              <w:spacing w:after="0"/>
            </w:pPr>
            <w:r>
              <w:rPr>
                <w:rFonts w:ascii="Times New Roman" w:hAnsi="Times New Roman"/>
                <w:sz w:val="14"/>
              </w:rPr>
              <w:t>Ex. 16:3</w:t>
            </w:r>
          </w:p>
        </w:tc>
        <w:tc>
          <w:tcPr>
            <w:tcW w:type="dxa" w:w="3552"/>
            <w:vAlign w:val="top"/>
          </w:tcPr>
          <w:p>
            <w:pPr>
              <w:spacing w:after="0"/>
            </w:pPr>
            <w:r>
              <w:rPr>
                <w:rFonts w:ascii="Times New Roman" w:hAnsi="Times New Roman"/>
                <w:sz w:val="14"/>
              </w:rPr>
              <w:t>qahal</w:t>
            </w:r>
          </w:p>
        </w:tc>
        <w:tc>
          <w:tcPr>
            <w:tcW w:type="dxa" w:w="3552"/>
            <w:vAlign w:val="top"/>
          </w:tcPr>
          <w:p>
            <w:pPr>
              <w:spacing w:after="0"/>
            </w:pPr>
            <w:r>
              <w:rPr>
                <w:rFonts w:ascii="Times New Roman" w:hAnsi="Times New Roman"/>
                <w:sz w:val="14"/>
              </w:rPr>
              <w:t>Assembly/congregation; later Greek usage can correspond to ekklesia.</w:t>
            </w:r>
          </w:p>
        </w:tc>
      </w:tr>
      <w:tr>
        <w:tc>
          <w:tcPr>
            <w:tcW w:type="dxa" w:w="3552"/>
            <w:vAlign w:val="top"/>
          </w:tcPr>
          <w:p>
            <w:pPr>
              <w:spacing w:after="0"/>
            </w:pPr>
            <w:r>
              <w:rPr>
                <w:rFonts w:ascii="Times New Roman" w:hAnsi="Times New Roman"/>
                <w:sz w:val="14"/>
              </w:rPr>
              <w:t>Ex. 16:4</w:t>
            </w:r>
          </w:p>
        </w:tc>
        <w:tc>
          <w:tcPr>
            <w:tcW w:type="dxa" w:w="3552"/>
            <w:vAlign w:val="top"/>
          </w:tcPr>
          <w:p>
            <w:pPr>
              <w:spacing w:after="0"/>
            </w:pPr>
            <w:r>
              <w:rPr>
                <w:rFonts w:ascii="Times New Roman" w:hAnsi="Times New Roman"/>
                <w:sz w:val="14"/>
              </w:rPr>
              <w:t>daily portion</w:t>
            </w:r>
          </w:p>
        </w:tc>
        <w:tc>
          <w:tcPr>
            <w:tcW w:type="dxa" w:w="3552"/>
            <w:vAlign w:val="top"/>
          </w:tcPr>
          <w:p>
            <w:pPr>
              <w:spacing w:after="0"/>
            </w:pPr>
            <w:r>
              <w:rPr>
                <w:rFonts w:ascii="Times New Roman" w:hAnsi="Times New Roman"/>
                <w:sz w:val="14"/>
              </w:rPr>
              <w:t>Provision deliberately structured as a daily test.</w:t>
            </w:r>
          </w:p>
        </w:tc>
      </w:tr>
      <w:tr>
        <w:tc>
          <w:tcPr>
            <w:tcW w:type="dxa" w:w="3552"/>
            <w:vAlign w:val="top"/>
          </w:tcPr>
          <w:p>
            <w:pPr>
              <w:spacing w:after="0"/>
            </w:pPr>
            <w:r>
              <w:rPr>
                <w:rFonts w:ascii="Times New Roman" w:hAnsi="Times New Roman"/>
                <w:sz w:val="14"/>
              </w:rPr>
              <w:t>Ex. 16:10</w:t>
            </w:r>
          </w:p>
        </w:tc>
        <w:tc>
          <w:tcPr>
            <w:tcW w:type="dxa" w:w="3552"/>
            <w:vAlign w:val="top"/>
          </w:tcPr>
          <w:p>
            <w:pPr>
              <w:spacing w:after="0"/>
            </w:pPr>
            <w:r>
              <w:rPr>
                <w:rFonts w:ascii="Times New Roman" w:hAnsi="Times New Roman"/>
                <w:sz w:val="14"/>
              </w:rPr>
              <w:t>glory in cloud</w:t>
            </w:r>
          </w:p>
        </w:tc>
        <w:tc>
          <w:tcPr>
            <w:tcW w:type="dxa" w:w="3552"/>
            <w:vAlign w:val="top"/>
          </w:tcPr>
          <w:p>
            <w:pPr>
              <w:spacing w:after="0"/>
            </w:pPr>
            <w:r>
              <w:rPr>
                <w:rFonts w:ascii="Times New Roman" w:hAnsi="Times New Roman"/>
                <w:sz w:val="14"/>
              </w:rPr>
              <w:t>Glory appears in the cloud before the food is supplied.</w:t>
            </w:r>
          </w:p>
        </w:tc>
      </w:tr>
      <w:tr>
        <w:tc>
          <w:tcPr>
            <w:tcW w:type="dxa" w:w="3552"/>
            <w:vAlign w:val="top"/>
          </w:tcPr>
          <w:p>
            <w:pPr>
              <w:spacing w:after="0"/>
            </w:pPr>
            <w:r>
              <w:rPr>
                <w:rFonts w:ascii="Times New Roman" w:hAnsi="Times New Roman"/>
                <w:sz w:val="14"/>
              </w:rPr>
              <w:t>Ex. 16:13</w:t>
            </w:r>
          </w:p>
        </w:tc>
        <w:tc>
          <w:tcPr>
            <w:tcW w:type="dxa" w:w="3552"/>
            <w:vAlign w:val="top"/>
          </w:tcPr>
          <w:p>
            <w:pPr>
              <w:spacing w:after="0"/>
            </w:pPr>
            <w:r>
              <w:rPr>
                <w:rFonts w:ascii="Times New Roman" w:hAnsi="Times New Roman"/>
                <w:sz w:val="14"/>
              </w:rPr>
              <w:t>selav</w:t>
            </w:r>
          </w:p>
        </w:tc>
        <w:tc>
          <w:tcPr>
            <w:tcW w:type="dxa" w:w="3552"/>
            <w:vAlign w:val="top"/>
          </w:tcPr>
          <w:p>
            <w:pPr>
              <w:spacing w:after="0"/>
            </w:pPr>
            <w:r>
              <w:rPr>
                <w:rFonts w:ascii="Times New Roman" w:hAnsi="Times New Roman"/>
                <w:sz w:val="14"/>
              </w:rPr>
              <w:t>Quail.</w:t>
            </w:r>
          </w:p>
        </w:tc>
      </w:tr>
      <w:tr>
        <w:tc>
          <w:tcPr>
            <w:tcW w:type="dxa" w:w="3552"/>
            <w:vAlign w:val="top"/>
          </w:tcPr>
          <w:p>
            <w:pPr>
              <w:spacing w:after="0"/>
            </w:pPr>
            <w:r>
              <w:rPr>
                <w:rFonts w:ascii="Times New Roman" w:hAnsi="Times New Roman"/>
                <w:sz w:val="14"/>
              </w:rPr>
              <w:t>Ex. 16:14</w:t>
            </w:r>
          </w:p>
        </w:tc>
        <w:tc>
          <w:tcPr>
            <w:tcW w:type="dxa" w:w="3552"/>
            <w:vAlign w:val="top"/>
          </w:tcPr>
          <w:p>
            <w:pPr>
              <w:spacing w:after="0"/>
            </w:pPr>
            <w:r>
              <w:rPr>
                <w:rFonts w:ascii="Times New Roman" w:hAnsi="Times New Roman"/>
                <w:sz w:val="14"/>
              </w:rPr>
              <w:t>mehuspas</w:t>
            </w:r>
          </w:p>
        </w:tc>
        <w:tc>
          <w:tcPr>
            <w:tcW w:type="dxa" w:w="3552"/>
            <w:vAlign w:val="top"/>
          </w:tcPr>
          <w:p>
            <w:pPr>
              <w:spacing w:after="0"/>
            </w:pPr>
            <w:r>
              <w:rPr>
                <w:rFonts w:ascii="Times New Roman" w:hAnsi="Times New Roman"/>
                <w:sz w:val="14"/>
              </w:rPr>
              <w:t>Rare/uncertain; fine/flaky safer than confidently “round.”</w:t>
            </w:r>
          </w:p>
        </w:tc>
      </w:tr>
      <w:tr>
        <w:tc>
          <w:tcPr>
            <w:tcW w:type="dxa" w:w="3552"/>
            <w:vAlign w:val="top"/>
          </w:tcPr>
          <w:p>
            <w:pPr>
              <w:spacing w:after="0"/>
            </w:pPr>
            <w:r>
              <w:rPr>
                <w:rFonts w:ascii="Times New Roman" w:hAnsi="Times New Roman"/>
                <w:sz w:val="14"/>
              </w:rPr>
              <w:t>Ex. 16:15</w:t>
            </w:r>
          </w:p>
        </w:tc>
        <w:tc>
          <w:tcPr>
            <w:tcW w:type="dxa" w:w="3552"/>
            <w:vAlign w:val="top"/>
          </w:tcPr>
          <w:p>
            <w:pPr>
              <w:spacing w:after="0"/>
            </w:pPr>
            <w:r>
              <w:rPr>
                <w:rFonts w:ascii="Times New Roman" w:hAnsi="Times New Roman"/>
                <w:sz w:val="14"/>
              </w:rPr>
              <w:t>man hu?</w:t>
            </w:r>
          </w:p>
        </w:tc>
        <w:tc>
          <w:tcPr>
            <w:tcW w:type="dxa" w:w="3552"/>
            <w:vAlign w:val="top"/>
          </w:tcPr>
          <w:p>
            <w:pPr>
              <w:spacing w:after="0"/>
            </w:pPr>
            <w:r>
              <w:rPr>
                <w:rFonts w:ascii="Times New Roman" w:hAnsi="Times New Roman"/>
                <w:sz w:val="14"/>
              </w:rPr>
              <w:t>“What is it?”; narrative wordplay associated with manna.</w:t>
            </w:r>
          </w:p>
        </w:tc>
      </w:tr>
      <w:tr>
        <w:tc>
          <w:tcPr>
            <w:tcW w:type="dxa" w:w="3552"/>
            <w:vAlign w:val="top"/>
          </w:tcPr>
          <w:p>
            <w:pPr>
              <w:spacing w:after="0"/>
            </w:pPr>
            <w:r>
              <w:rPr>
                <w:rFonts w:ascii="Times New Roman" w:hAnsi="Times New Roman"/>
                <w:sz w:val="14"/>
              </w:rPr>
              <w:t>Ex. 16:16</w:t>
            </w:r>
          </w:p>
        </w:tc>
        <w:tc>
          <w:tcPr>
            <w:tcW w:type="dxa" w:w="3552"/>
            <w:vAlign w:val="top"/>
          </w:tcPr>
          <w:p>
            <w:pPr>
              <w:spacing w:after="0"/>
            </w:pPr>
            <w:r>
              <w:rPr>
                <w:rFonts w:ascii="Times New Roman" w:hAnsi="Times New Roman"/>
                <w:sz w:val="14"/>
              </w:rPr>
              <w:t>gulgoleth</w:t>
            </w:r>
          </w:p>
        </w:tc>
        <w:tc>
          <w:tcPr>
            <w:tcW w:type="dxa" w:w="3552"/>
            <w:vAlign w:val="top"/>
          </w:tcPr>
          <w:p>
            <w:pPr>
              <w:spacing w:after="0"/>
            </w:pPr>
            <w:r>
              <w:rPr>
                <w:rFonts w:ascii="Times New Roman" w:hAnsi="Times New Roman"/>
                <w:sz w:val="14"/>
              </w:rPr>
              <w:t>Head/skull used idiomatically for each person.</w:t>
            </w:r>
          </w:p>
        </w:tc>
      </w:tr>
      <w:tr>
        <w:tc>
          <w:tcPr>
            <w:tcW w:type="dxa" w:w="3552"/>
            <w:vAlign w:val="top"/>
          </w:tcPr>
          <w:p>
            <w:pPr>
              <w:spacing w:after="0"/>
            </w:pPr>
            <w:r>
              <w:rPr>
                <w:rFonts w:ascii="Times New Roman" w:hAnsi="Times New Roman"/>
                <w:sz w:val="14"/>
              </w:rPr>
              <w:t>Ex. 16:18</w:t>
            </w:r>
          </w:p>
        </w:tc>
        <w:tc>
          <w:tcPr>
            <w:tcW w:type="dxa" w:w="3552"/>
            <w:vAlign w:val="top"/>
          </w:tcPr>
          <w:p>
            <w:pPr>
              <w:spacing w:after="0"/>
            </w:pPr>
            <w:r>
              <w:rPr>
                <w:rFonts w:ascii="Times New Roman" w:hAnsi="Times New Roman"/>
                <w:sz w:val="14"/>
              </w:rPr>
              <w:t>2 Cor. 8:15</w:t>
            </w:r>
          </w:p>
        </w:tc>
        <w:tc>
          <w:tcPr>
            <w:tcW w:type="dxa" w:w="3552"/>
            <w:vAlign w:val="top"/>
          </w:tcPr>
          <w:p>
            <w:pPr>
              <w:spacing w:after="0"/>
            </w:pPr>
            <w:r>
              <w:rPr>
                <w:rFonts w:ascii="Times New Roman" w:hAnsi="Times New Roman"/>
                <w:sz w:val="14"/>
              </w:rPr>
              <w:t>Paul explicitly cites the no-excess/no-lack manna principle.</w:t>
            </w:r>
          </w:p>
        </w:tc>
      </w:tr>
      <w:tr>
        <w:tc>
          <w:tcPr>
            <w:tcW w:type="dxa" w:w="3552"/>
            <w:vAlign w:val="top"/>
          </w:tcPr>
          <w:p>
            <w:pPr>
              <w:spacing w:after="0"/>
            </w:pPr>
            <w:r>
              <w:rPr>
                <w:rFonts w:ascii="Times New Roman" w:hAnsi="Times New Roman"/>
                <w:sz w:val="14"/>
              </w:rPr>
              <w:t>Ex. 16:20</w:t>
            </w:r>
          </w:p>
        </w:tc>
        <w:tc>
          <w:tcPr>
            <w:tcW w:type="dxa" w:w="3552"/>
            <w:vAlign w:val="top"/>
          </w:tcPr>
          <w:p>
            <w:pPr>
              <w:spacing w:after="0"/>
            </w:pPr>
            <w:r>
              <w:rPr>
                <w:rFonts w:ascii="Times New Roman" w:hAnsi="Times New Roman"/>
                <w:sz w:val="14"/>
              </w:rPr>
              <w:t>rimmah</w:t>
            </w:r>
          </w:p>
        </w:tc>
        <w:tc>
          <w:tcPr>
            <w:tcW w:type="dxa" w:w="3552"/>
            <w:vAlign w:val="top"/>
          </w:tcPr>
          <w:p>
            <w:pPr>
              <w:spacing w:after="0"/>
            </w:pPr>
            <w:r>
              <w:rPr>
                <w:rFonts w:ascii="Times New Roman" w:hAnsi="Times New Roman"/>
                <w:sz w:val="14"/>
              </w:rPr>
              <w:t>Worms/maggots in disobediently stored manna.</w:t>
            </w:r>
          </w:p>
        </w:tc>
      </w:tr>
      <w:tr>
        <w:tc>
          <w:tcPr>
            <w:tcW w:type="dxa" w:w="3552"/>
            <w:vAlign w:val="top"/>
          </w:tcPr>
          <w:p>
            <w:pPr>
              <w:spacing w:after="0"/>
            </w:pPr>
            <w:r>
              <w:rPr>
                <w:rFonts w:ascii="Times New Roman" w:hAnsi="Times New Roman"/>
                <w:sz w:val="14"/>
              </w:rPr>
              <w:t>Ex. 16:23</w:t>
            </w:r>
          </w:p>
        </w:tc>
        <w:tc>
          <w:tcPr>
            <w:tcW w:type="dxa" w:w="3552"/>
            <w:vAlign w:val="top"/>
          </w:tcPr>
          <w:p>
            <w:pPr>
              <w:spacing w:after="0"/>
            </w:pPr>
            <w:r>
              <w:rPr>
                <w:rFonts w:ascii="Times New Roman" w:hAnsi="Times New Roman"/>
                <w:sz w:val="14"/>
              </w:rPr>
              <w:t>shabbathon shabbat-qodesh</w:t>
            </w:r>
          </w:p>
        </w:tc>
        <w:tc>
          <w:tcPr>
            <w:tcW w:type="dxa" w:w="3552"/>
            <w:vAlign w:val="top"/>
          </w:tcPr>
          <w:p>
            <w:pPr>
              <w:spacing w:after="0"/>
            </w:pPr>
            <w:r>
              <w:rPr>
                <w:rFonts w:ascii="Times New Roman" w:hAnsi="Times New Roman"/>
                <w:sz w:val="14"/>
              </w:rPr>
              <w:t>Solemn rest / holy sabbath.</w:t>
            </w:r>
          </w:p>
        </w:tc>
      </w:tr>
      <w:tr>
        <w:tc>
          <w:tcPr>
            <w:tcW w:type="dxa" w:w="3552"/>
            <w:vAlign w:val="top"/>
          </w:tcPr>
          <w:p>
            <w:pPr>
              <w:spacing w:after="0"/>
            </w:pPr>
            <w:r>
              <w:rPr>
                <w:rFonts w:ascii="Times New Roman" w:hAnsi="Times New Roman"/>
                <w:sz w:val="14"/>
              </w:rPr>
              <w:t>Ex. 16:29</w:t>
            </w:r>
          </w:p>
        </w:tc>
        <w:tc>
          <w:tcPr>
            <w:tcW w:type="dxa" w:w="3552"/>
            <w:vAlign w:val="top"/>
          </w:tcPr>
          <w:p>
            <w:pPr>
              <w:spacing w:after="0"/>
            </w:pPr>
            <w:r>
              <w:rPr>
                <w:rFonts w:ascii="Times New Roman" w:hAnsi="Times New Roman"/>
                <w:sz w:val="14"/>
              </w:rPr>
              <w:t>Sabbath given</w:t>
            </w:r>
          </w:p>
        </w:tc>
        <w:tc>
          <w:tcPr>
            <w:tcW w:type="dxa" w:w="3552"/>
            <w:vAlign w:val="top"/>
          </w:tcPr>
          <w:p>
            <w:pPr>
              <w:spacing w:after="0"/>
            </w:pPr>
            <w:r>
              <w:rPr>
                <w:rFonts w:ascii="Times New Roman" w:hAnsi="Times New Roman"/>
                <w:sz w:val="14"/>
              </w:rPr>
              <w:t>Gift supported by sixth-day provision; practical observance before Ex. 20.</w:t>
            </w:r>
          </w:p>
        </w:tc>
      </w:tr>
      <w:tr>
        <w:tc>
          <w:tcPr>
            <w:tcW w:type="dxa" w:w="3552"/>
            <w:vAlign w:val="top"/>
          </w:tcPr>
          <w:p>
            <w:pPr>
              <w:spacing w:after="0"/>
            </w:pPr>
            <w:r>
              <w:rPr>
                <w:rFonts w:ascii="Times New Roman" w:hAnsi="Times New Roman"/>
                <w:sz w:val="14"/>
              </w:rPr>
              <w:t>Ex. 16:31</w:t>
            </w:r>
          </w:p>
        </w:tc>
        <w:tc>
          <w:tcPr>
            <w:tcW w:type="dxa" w:w="3552"/>
            <w:vAlign w:val="top"/>
          </w:tcPr>
          <w:p>
            <w:pPr>
              <w:spacing w:after="0"/>
            </w:pPr>
            <w:r>
              <w:rPr>
                <w:rFonts w:ascii="Times New Roman" w:hAnsi="Times New Roman"/>
                <w:sz w:val="14"/>
              </w:rPr>
              <w:t>gad / honey-like taste</w:t>
            </w:r>
          </w:p>
        </w:tc>
        <w:tc>
          <w:tcPr>
            <w:tcW w:type="dxa" w:w="3552"/>
            <w:vAlign w:val="top"/>
          </w:tcPr>
          <w:p>
            <w:pPr>
              <w:spacing w:after="0"/>
            </w:pPr>
            <w:r>
              <w:rPr>
                <w:rFonts w:ascii="Times New Roman" w:hAnsi="Times New Roman"/>
                <w:sz w:val="14"/>
              </w:rPr>
              <w:t>Coriander-seed comparison; white; wafer/cake with honey.</w:t>
            </w:r>
          </w:p>
        </w:tc>
      </w:tr>
      <w:tr>
        <w:tc>
          <w:tcPr>
            <w:tcW w:type="dxa" w:w="3552"/>
            <w:vAlign w:val="top"/>
          </w:tcPr>
          <w:p>
            <w:pPr>
              <w:spacing w:after="0"/>
            </w:pPr>
            <w:r>
              <w:rPr>
                <w:rFonts w:ascii="Times New Roman" w:hAnsi="Times New Roman"/>
                <w:sz w:val="14"/>
              </w:rPr>
              <w:t>Ex. 16:33–34</w:t>
            </w:r>
          </w:p>
        </w:tc>
        <w:tc>
          <w:tcPr>
            <w:tcW w:type="dxa" w:w="3552"/>
            <w:vAlign w:val="top"/>
          </w:tcPr>
          <w:p>
            <w:pPr>
              <w:spacing w:after="0"/>
            </w:pPr>
            <w:r>
              <w:rPr>
                <w:rFonts w:ascii="Times New Roman" w:hAnsi="Times New Roman"/>
                <w:sz w:val="14"/>
              </w:rPr>
              <w:t>tsintsenet / before Testimony</w:t>
            </w:r>
          </w:p>
        </w:tc>
        <w:tc>
          <w:tcPr>
            <w:tcW w:type="dxa" w:w="3552"/>
            <w:vAlign w:val="top"/>
          </w:tcPr>
          <w:p>
            <w:pPr>
              <w:spacing w:after="0"/>
            </w:pPr>
            <w:r>
              <w:rPr>
                <w:rFonts w:ascii="Times New Roman" w:hAnsi="Times New Roman"/>
                <w:sz w:val="14"/>
              </w:rPr>
              <w:t>Jar/container; likely retrospective completion after sanctuary arrangements.</w:t>
            </w:r>
          </w:p>
        </w:tc>
      </w:tr>
      <w:tr>
        <w:tc>
          <w:tcPr>
            <w:tcW w:type="dxa" w:w="3552"/>
            <w:vAlign w:val="top"/>
          </w:tcPr>
          <w:p>
            <w:pPr>
              <w:spacing w:after="0"/>
            </w:pPr>
            <w:r>
              <w:rPr>
                <w:rFonts w:ascii="Times New Roman" w:hAnsi="Times New Roman"/>
                <w:sz w:val="14"/>
              </w:rPr>
              <w:t>Heb. 9:4</w:t>
            </w:r>
          </w:p>
        </w:tc>
        <w:tc>
          <w:tcPr>
            <w:tcW w:type="dxa" w:w="3552"/>
            <w:vAlign w:val="top"/>
          </w:tcPr>
          <w:p>
            <w:pPr>
              <w:spacing w:after="0"/>
            </w:pPr>
            <w:r>
              <w:rPr>
                <w:rFonts w:ascii="Times New Roman" w:hAnsi="Times New Roman"/>
                <w:sz w:val="14"/>
              </w:rPr>
              <w:t>golden pot</w:t>
            </w:r>
          </w:p>
        </w:tc>
        <w:tc>
          <w:tcPr>
            <w:tcW w:type="dxa" w:w="3552"/>
            <w:vAlign w:val="top"/>
          </w:tcPr>
          <w:p>
            <w:pPr>
              <w:spacing w:after="0"/>
            </w:pPr>
            <w:r>
              <w:rPr>
                <w:rFonts w:ascii="Times New Roman" w:hAnsi="Times New Roman"/>
                <w:sz w:val="14"/>
              </w:rPr>
              <w:t>Later inspired description; does not redefine tsintsenet lexically.</w:t>
            </w:r>
          </w:p>
        </w:tc>
      </w:tr>
      <w:tr>
        <w:tc>
          <w:tcPr>
            <w:tcW w:type="dxa" w:w="3552"/>
            <w:vAlign w:val="top"/>
          </w:tcPr>
          <w:p>
            <w:pPr>
              <w:spacing w:after="0"/>
            </w:pPr>
            <w:r>
              <w:rPr>
                <w:rFonts w:ascii="Times New Roman" w:hAnsi="Times New Roman"/>
                <w:sz w:val="14"/>
              </w:rPr>
              <w:t>Ex. 16:35</w:t>
            </w:r>
          </w:p>
        </w:tc>
        <w:tc>
          <w:tcPr>
            <w:tcW w:type="dxa" w:w="3552"/>
            <w:vAlign w:val="top"/>
          </w:tcPr>
          <w:p>
            <w:pPr>
              <w:spacing w:after="0"/>
            </w:pPr>
            <w:r>
              <w:rPr>
                <w:rFonts w:ascii="Times New Roman" w:hAnsi="Times New Roman"/>
                <w:sz w:val="14"/>
              </w:rPr>
              <w:t>Josh. 5:12</w:t>
            </w:r>
          </w:p>
        </w:tc>
        <w:tc>
          <w:tcPr>
            <w:tcW w:type="dxa" w:w="3552"/>
            <w:vAlign w:val="top"/>
          </w:tcPr>
          <w:p>
            <w:pPr>
              <w:spacing w:after="0"/>
            </w:pPr>
            <w:r>
              <w:rPr>
                <w:rFonts w:ascii="Times New Roman" w:hAnsi="Times New Roman"/>
                <w:sz w:val="14"/>
              </w:rPr>
              <w:t>Manna continues through wilderness and ceases with Canaan produce.</w:t>
            </w:r>
          </w:p>
        </w:tc>
      </w:tr>
      <w:tr>
        <w:tc>
          <w:tcPr>
            <w:tcW w:type="dxa" w:w="3552"/>
            <w:vAlign w:val="top"/>
          </w:tcPr>
          <w:p>
            <w:pPr>
              <w:spacing w:after="0"/>
            </w:pPr>
            <w:r>
              <w:rPr>
                <w:rFonts w:ascii="Times New Roman" w:hAnsi="Times New Roman"/>
                <w:sz w:val="14"/>
              </w:rPr>
              <w:t>Ex. 16:36</w:t>
            </w:r>
          </w:p>
        </w:tc>
        <w:tc>
          <w:tcPr>
            <w:tcW w:type="dxa" w:w="3552"/>
            <w:vAlign w:val="top"/>
          </w:tcPr>
          <w:p>
            <w:pPr>
              <w:spacing w:after="0"/>
            </w:pPr>
            <w:r>
              <w:rPr>
                <w:rFonts w:ascii="Times New Roman" w:hAnsi="Times New Roman"/>
                <w:sz w:val="14"/>
              </w:rPr>
              <w:t>omer = 1/10 ephah</w:t>
            </w:r>
          </w:p>
        </w:tc>
        <w:tc>
          <w:tcPr>
            <w:tcW w:type="dxa" w:w="3552"/>
            <w:vAlign w:val="top"/>
          </w:tcPr>
          <w:p>
            <w:pPr>
              <w:spacing w:after="0"/>
            </w:pPr>
            <w:r>
              <w:rPr>
                <w:rFonts w:ascii="Times New Roman" w:hAnsi="Times New Roman"/>
                <w:sz w:val="14"/>
              </w:rPr>
              <w:t>Biblical relationship secure; exact modern volume debated.</w:t>
            </w:r>
          </w:p>
        </w:tc>
      </w:tr>
    </w:tbl>
    <w:p>
      <w:pPr>
        <w:pStyle w:val="Heading1"/>
      </w:pPr>
      <w:r>
        <w:t>RESIDUAL UNCERTAINTIES</w:t>
      </w:r>
    </w:p>
    <w:p>
      <w:pPr/>
      <w:r>
        <w:rPr>
          <w:i w:val="0"/>
        </w:rPr>
        <w:t>The exact route through the Wilderness of Sin and the etymologies of Sin/Sinai remain uncertain. The rare adjective mehuspas in verse 14 is not securely defined. Ancient omer/ephah conversion to modern litres varies, and Mansfield’s exact weekday chronology and some detailed quail/manna symbolic pairings remain interpretative rather than established by the chapter.</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