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17</w:t>
      </w:r>
    </w:p>
    <w:p>
      <w:pPr>
        <w:pStyle w:val="Subtitle"/>
      </w:pPr>
      <w:r>
        <w:t>WATER FROM THE ROCK • MASSAH AND MERIBAH • AMALEK ATTACKS • JOSHUA FIGHTS • MOSES’ HANDS SUPPORTED • YAHWEH-NISSI</w:t>
      </w:r>
    </w:p>
    <w:p>
      <w:pPr/>
      <w:r>
        <w:rPr>
          <w:i/>
        </w:rPr>
        <w:t>H. P. Mansfield Bible notes — checked and arranged in verse-by-verse Expositor style</w:t>
      </w:r>
    </w:p>
    <w:p>
      <w:pPr/>
      <w:r>
        <w:rPr>
          <w:i w:val="0"/>
        </w:rPr>
        <w:t>Source: HPB 02-Gen42-Lev11.pdf, principally Exodus 17 photographed pages 44–45</w:t>
      </w:r>
    </w:p>
    <w:p>
      <w:pPr>
        <w:pStyle w:val="Heading1"/>
      </w:pPr>
      <w:r>
        <w:t>CHAPTER OVERVIEW</w:t>
      </w:r>
    </w:p>
    <w:p>
      <w:pPr/>
      <w:r>
        <w:rPr>
          <w:i w:val="0"/>
        </w:rPr>
        <w:t>Exodus 17 joins two crises that answer the same underlying question: “Is Yahweh among us, or not?” First, there is no water at Rephidim; Yahweh stands before Moses at the rock and provides water. Then Amalek attacks the weary nation; Israel discovers that active battle must remain dependent upon Yahweh’s sustaining power.</w:t>
      </w:r>
    </w:p>
    <w:p>
      <w:pPr/>
      <w:r>
        <w:rPr>
          <w:i w:val="0"/>
        </w:rPr>
        <w:t>Later Scripture makes the rock episode explicitly typological: “that Rock was Christ” (1 Corinthians 10:4). The Amalek episode likewise teaches that Joshua’s warfare, Moses’ uplifted hands and the supporting ministry of Aaron and Hur all belong together; victory is not produced by human strength in isolation.</w:t>
      </w:r>
    </w:p>
    <w:p>
      <w:pPr>
        <w:pStyle w:val="Heading1"/>
      </w:pPr>
      <w:r>
        <w:t>WATER AT REPHIDIM — EXODUS 17:1–7</w:t>
      </w:r>
    </w:p>
    <w:p>
      <w:pPr>
        <w:pStyle w:val="Heading2"/>
      </w:pPr>
      <w:r>
        <w:t>Exodus 17:1 — led by command, yet without water</w:t>
      </w:r>
    </w:p>
    <w:p>
      <w:pPr/>
      <w:r>
        <w:rPr>
          <w:i w:val="0"/>
        </w:rPr>
        <w:t>Israel journeys “according to the commandment of Yahweh” and camps at Rephidim, where there is no water. The exact site is uncertain. The important theological point is explicit: the shortage occurs while Israel is following Yahweh’s direction. Hardship therefore cannot be used as proof that Divine guidance has failed.</w:t>
      </w:r>
    </w:p>
    <w:p>
      <w:pPr>
        <w:pStyle w:val="Heading2"/>
      </w:pPr>
      <w:r>
        <w:t>Exodus 17:2–3 — striving with Moses; testing Yahweh</w:t>
      </w:r>
    </w:p>
    <w:p>
      <w:pPr/>
      <w:r>
        <w:rPr>
          <w:i w:val="0"/>
        </w:rPr>
        <w:t>The people contend with Moses and demand water. The verb rib means strive, contend or bring a dispute; nasah means test/prove. Moses therefore asks, “Wherefore do ye tempt Yahweh?” They are treating visible need as a test Yahweh must pass before they will trust Him.</w:t>
      </w:r>
    </w:p>
    <w:p>
      <w:pPr/>
      <w:r>
        <w:rPr>
          <w:i w:val="0"/>
        </w:rPr>
        <w:t>As thirst increases, Egypt is again remembered selectively. Moses is accused of bringing people, children and cattle into the wilderness to die. The accusation ignores the cloud, Red Sea, manna and every prior demonstration of Yahweh’s presence.</w:t>
      </w:r>
    </w:p>
    <w:p>
      <w:pPr>
        <w:pStyle w:val="Heading2"/>
      </w:pPr>
      <w:r>
        <w:t>Exodus 17:4 — Moses cries to Yahweh</w:t>
      </w:r>
    </w:p>
    <w:p>
      <w:pPr/>
      <w:r>
        <w:rPr>
          <w:i w:val="0"/>
        </w:rPr>
        <w:t>Moses says the people are almost ready to stone him. Unlike the congregation’s quarrelling, his response is to take the crisis to Yahweh. The chapter does not idealise the pressure of leadership, but it shows the correct direction in which that pressure is carried.</w:t>
      </w:r>
    </w:p>
    <w:p>
      <w:pPr>
        <w:pStyle w:val="Heading2"/>
      </w:pPr>
      <w:r>
        <w:t>Exodus 17:5–6 — Yahweh stands upon the rock</w:t>
      </w:r>
    </w:p>
    <w:p>
      <w:pPr/>
      <w:r>
        <w:rPr>
          <w:i w:val="0"/>
        </w:rPr>
        <w:t>Moses takes elders and the rod previously used at the Nile. Yahweh says, “Behold, I will stand before thee there upon the rock in Horeb.” The Hebrew tsur denotes rock/rock mass and can carry the sense of a substantial rocky formation; Mansfield’s more elaborate geological distinctions should not be made absolute.</w:t>
      </w:r>
    </w:p>
    <w:p>
      <w:pPr/>
      <w:r>
        <w:rPr>
          <w:i w:val="0"/>
        </w:rPr>
        <w:t>Moses strikes the rock and water comes out. First Corinthians 10:4 explicitly interprets the wilderness provision Christologically: Israel “drank of that spiritual Rock that followed them: and that Rock was Christ.” The apostolic type therefore is secure, though the text does not teach that a literal mobile boulder physically travelled behind Israel.</w:t>
      </w:r>
    </w:p>
    <w:p>
      <w:pPr>
        <w:pStyle w:val="Heading2"/>
      </w:pPr>
      <w:r>
        <w:t>Exodus 17:7 — Massah and Meribah</w:t>
      </w:r>
    </w:p>
    <w:p>
      <w:pPr/>
      <w:r>
        <w:rPr>
          <w:i w:val="0"/>
        </w:rPr>
        <w:t>Moses names the place Massah, from nasah, testing, and Meribah, from rib, strife/contention. The reason is stated: Israel quarrelled and tested Yahweh by asking, “Is Yahweh among us, or not?” The sin is deeper than thirst; it is unbelief in the Divine presence already repeatedly manifested.</w:t>
      </w:r>
    </w:p>
    <w:p>
      <w:pPr>
        <w:pStyle w:val="Heading1"/>
      </w:pPr>
      <w:r>
        <w:t>AMALEK ATTACKS — EXODUS 17:8–13</w:t>
      </w:r>
    </w:p>
    <w:p>
      <w:pPr>
        <w:pStyle w:val="Heading2"/>
      </w:pPr>
      <w:r>
        <w:t>Exodus 17:8 — Amalek strikes the weary</w:t>
      </w:r>
    </w:p>
    <w:p>
      <w:pPr/>
      <w:r>
        <w:rPr>
          <w:i w:val="0"/>
        </w:rPr>
        <w:t>Amalek attacks Israel at Rephidim. Genesis 36:12 traces Amalek to Esau’s line through Eliphaz. Deuteronomy 25:17–18 adds the morally important detail that Amalek attacked the stragglers at Israel’s rear when the people were faint and weary, explaining the special severity of the later memorial judgment.</w:t>
      </w:r>
    </w:p>
    <w:p>
      <w:pPr>
        <w:pStyle w:val="Heading2"/>
      </w:pPr>
      <w:r>
        <w:t>Exodus 17:9–10 — Joshua fights below; Moses ascends</w:t>
      </w:r>
    </w:p>
    <w:p>
      <w:pPr/>
      <w:r>
        <w:rPr>
          <w:i w:val="0"/>
        </w:rPr>
        <w:t>Moses tells Joshua to choose men and fight Amalek while Moses stands on the hill with “the rod of God.” This is Joshua’s first appearance in the Exodus narrative. His name, Yehoshua, is associated with “Yahweh saves,” although Numbers 13:16 preserves the tradition that Moses renamed Hoshea as Joshua; Exodus can therefore use the later familiar name without requiring the renaming to have occurred already.</w:t>
      </w:r>
    </w:p>
    <w:p>
      <w:pPr/>
      <w:r>
        <w:rPr>
          <w:i w:val="0"/>
        </w:rPr>
        <w:t>Aaron and Hur accompany Moses. Hur appears again in Exodus 24:14, but Scripture does not give enough information here to establish the detailed family and name-symbolism sometimes attached to him.</w:t>
      </w:r>
    </w:p>
    <w:p>
      <w:pPr>
        <w:pStyle w:val="Heading2"/>
      </w:pPr>
      <w:r>
        <w:t>Exodus 17:11–13 — heavy hands and shared support</w:t>
      </w:r>
    </w:p>
    <w:p>
      <w:pPr/>
      <w:r>
        <w:rPr>
          <w:i w:val="0"/>
        </w:rPr>
        <w:t>When Moses’ hand is raised Israel prevails; when it falls Amalek prevails. The gesture is not magic. In the narrative it visibly expresses continuing dependence upon Yahweh while Joshua carries out the battle below.</w:t>
      </w:r>
    </w:p>
    <w:p>
      <w:pPr/>
      <w:r>
        <w:rPr>
          <w:i w:val="0"/>
        </w:rPr>
        <w:t>Moses’ hands become heavy, so a stone is placed beneath him and Aaron and Hur support his hands until sunset. The picture is deliberately communal: the appointed leader himself needs support. Joshua then “discomfits” Amalek; the Hebrew chalash means weaken, disable or overcome.</w:t>
      </w:r>
    </w:p>
    <w:p>
      <w:pPr>
        <w:pStyle w:val="Heading1"/>
      </w:pPr>
      <w:r>
        <w:t>MEMORIAL AND DIVINE TITLE — EXODUS 17:14–16</w:t>
      </w:r>
    </w:p>
    <w:p>
      <w:pPr>
        <w:pStyle w:val="Heading2"/>
      </w:pPr>
      <w:r>
        <w:t>Exodus 17:14 — “write this for a memorial in a book”</w:t>
      </w:r>
    </w:p>
    <w:p>
      <w:pPr/>
      <w:r>
        <w:rPr>
          <w:i w:val="0"/>
        </w:rPr>
        <w:t>Yahweh commands Moses to write the event as a memorial in a sefer — book/document/scroll — and to rehearse it in Joshua’s hearing. Amalek’s hostile remembrance will ultimately be blotted out. Deuteronomy 25:19 later repeats the command concerning Amalek, and 1 Samuel 15 records a later stage of its historical outworking.</w:t>
      </w:r>
    </w:p>
    <w:p>
      <w:pPr>
        <w:pStyle w:val="Heading2"/>
      </w:pPr>
      <w:r>
        <w:t>Exodus 17:15 — Yahweh-nissi</w:t>
      </w:r>
    </w:p>
    <w:p>
      <w:pPr/>
      <w:r>
        <w:rPr>
          <w:i w:val="0"/>
        </w:rPr>
        <w:t>Moses builds an altar and names it Yahweh-nissi — “Yahweh is my banner” or “Yahweh my banner.” A banner is the point around which a people rally. The title therefore identifies Yahweh, not Moses’ rod or Israel’s military skill, as the source and standard of victory.</w:t>
      </w:r>
    </w:p>
    <w:p>
      <w:pPr>
        <w:pStyle w:val="Heading2"/>
      </w:pPr>
      <w:r>
        <w:t>Exodus 17:16 — a difficult Hebrew declaration</w:t>
      </w:r>
    </w:p>
    <w:p>
      <w:pPr/>
      <w:r>
        <w:rPr>
          <w:i w:val="0"/>
        </w:rPr>
        <w:t>The final Hebrew clause is unusually difficult: ki-yad ‘al-kes Yah has been understood along lines such as “a hand upon the throne of Yah,” “a hand against the throne of Yah,” or as an oath/banner expression. The KJV paraphrases the sense as Yahweh having sworn perpetual war with Amalek. The enduring hostility is clear from the context, but the exact syntax should remain qualified.</w:t>
      </w:r>
    </w:p>
    <w:p>
      <w:pPr>
        <w:pStyle w:val="Heading1"/>
      </w:pPr>
      <w:r>
        <w:t>THE TWO CRISES TOGETHER</w:t>
      </w:r>
    </w:p>
    <w:p>
      <w:pPr/>
      <w:r>
        <w:rPr>
          <w:i w:val="0"/>
        </w:rPr>
        <w:t>The chapter’s arrangement answers Israel’s question. They ask whether Yahweh is among them; Yahweh declares that He will stand before Moses at the rock and gives water. Amalek then attacks, and the outcome of the battle again depends upon Yahweh. The Divine presence is therefore demonstrated in both sustenance and conflict.</w:t>
      </w:r>
    </w:p>
    <w:p>
      <w:pPr>
        <w:pStyle w:val="Heading1"/>
      </w:pPr>
      <w:r>
        <w:t>PRINCIPAL THEMES</w:t>
      </w:r>
    </w:p>
    <w:p>
      <w:pPr>
        <w:ind w:left="259" w:hanging="202"/>
      </w:pPr>
      <w:r>
        <w:rPr>
          <w:b/>
        </w:rPr>
        <w:t xml:space="preserve">• </w:t>
      </w:r>
      <w:r>
        <w:t>Following Yahweh’s direction does not guarantee freedom from immediate hardship.</w:t>
      </w:r>
    </w:p>
    <w:p>
      <w:pPr>
        <w:ind w:left="259" w:hanging="202"/>
      </w:pPr>
      <w:r>
        <w:rPr>
          <w:b/>
        </w:rPr>
        <w:t xml:space="preserve">• </w:t>
      </w:r>
      <w:r>
        <w:t>To demand that God prove Himself on our terms is to test Him rather than trust Him.</w:t>
      </w:r>
    </w:p>
    <w:p>
      <w:pPr>
        <w:ind w:left="259" w:hanging="202"/>
      </w:pPr>
      <w:r>
        <w:rPr>
          <w:b/>
        </w:rPr>
        <w:t xml:space="preserve">• </w:t>
      </w:r>
      <w:r>
        <w:t>The smitten rock and life-giving water are explicitly connected with Christ in 1 Corinthians 10.</w:t>
      </w:r>
    </w:p>
    <w:p>
      <w:pPr>
        <w:ind w:left="259" w:hanging="202"/>
      </w:pPr>
      <w:r>
        <w:rPr>
          <w:b/>
        </w:rPr>
        <w:t xml:space="preserve">• </w:t>
      </w:r>
      <w:r>
        <w:t>Amalek exploits weakness and becomes a persistent adversary.</w:t>
      </w:r>
    </w:p>
    <w:p>
      <w:pPr>
        <w:ind w:left="259" w:hanging="202"/>
      </w:pPr>
      <w:r>
        <w:rPr>
          <w:b/>
        </w:rPr>
        <w:t xml:space="preserve">• </w:t>
      </w:r>
      <w:r>
        <w:t>Joshua’s active warfare and Moses’ dependence upon Yahweh belong together.</w:t>
      </w:r>
    </w:p>
    <w:p>
      <w:pPr>
        <w:ind w:left="259" w:hanging="202"/>
      </w:pPr>
      <w:r>
        <w:rPr>
          <w:b/>
        </w:rPr>
        <w:t xml:space="preserve">• </w:t>
      </w:r>
      <w:r>
        <w:t>Aaron and Hur show that leaders themselves need faithful support.</w:t>
      </w:r>
    </w:p>
    <w:p>
      <w:pPr>
        <w:ind w:left="259" w:hanging="202"/>
      </w:pPr>
      <w:r>
        <w:rPr>
          <w:b/>
        </w:rPr>
        <w:t xml:space="preserve">• </w:t>
      </w:r>
      <w:r>
        <w:t>Written memorial preserves Divine lessons across generations.</w:t>
      </w:r>
    </w:p>
    <w:p>
      <w:pPr>
        <w:ind w:left="259" w:hanging="202"/>
      </w:pPr>
      <w:r>
        <w:rPr>
          <w:b/>
        </w:rPr>
        <w:t xml:space="preserve">• </w:t>
      </w:r>
      <w:r>
        <w:t>Yahweh Himself is Israel’s banner and source of victory.</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Ex. 17:1</w:t>
            </w:r>
          </w:p>
        </w:tc>
        <w:tc>
          <w:tcPr>
            <w:tcW w:type="dxa" w:w="3552"/>
            <w:vAlign w:val="top"/>
          </w:tcPr>
          <w:p>
            <w:pPr>
              <w:spacing w:after="0"/>
            </w:pPr>
            <w:r>
              <w:rPr>
                <w:rFonts w:ascii="Times New Roman" w:hAnsi="Times New Roman"/>
                <w:sz w:val="15"/>
              </w:rPr>
              <w:t>Rephidim</w:t>
            </w:r>
          </w:p>
        </w:tc>
        <w:tc>
          <w:tcPr>
            <w:tcW w:type="dxa" w:w="3552"/>
            <w:vAlign w:val="top"/>
          </w:tcPr>
          <w:p>
            <w:pPr>
              <w:spacing w:after="0"/>
            </w:pPr>
            <w:r>
              <w:rPr>
                <w:rFonts w:ascii="Times New Roman" w:hAnsi="Times New Roman"/>
                <w:sz w:val="15"/>
              </w:rPr>
              <w:t>Exact site uncertain; theological point is guidance despite lack of water.</w:t>
            </w:r>
          </w:p>
        </w:tc>
      </w:tr>
      <w:tr>
        <w:tc>
          <w:tcPr>
            <w:tcW w:type="dxa" w:w="3552"/>
            <w:vAlign w:val="top"/>
          </w:tcPr>
          <w:p>
            <w:pPr>
              <w:spacing w:after="0"/>
            </w:pPr>
            <w:r>
              <w:rPr>
                <w:rFonts w:ascii="Times New Roman" w:hAnsi="Times New Roman"/>
                <w:sz w:val="15"/>
              </w:rPr>
              <w:t>Ex. 17:2</w:t>
            </w:r>
          </w:p>
        </w:tc>
        <w:tc>
          <w:tcPr>
            <w:tcW w:type="dxa" w:w="3552"/>
            <w:vAlign w:val="top"/>
          </w:tcPr>
          <w:p>
            <w:pPr>
              <w:spacing w:after="0"/>
            </w:pPr>
            <w:r>
              <w:rPr>
                <w:rFonts w:ascii="Times New Roman" w:hAnsi="Times New Roman"/>
                <w:sz w:val="15"/>
              </w:rPr>
              <w:t>rib / nasah</w:t>
            </w:r>
          </w:p>
        </w:tc>
        <w:tc>
          <w:tcPr>
            <w:tcW w:type="dxa" w:w="3552"/>
            <w:vAlign w:val="top"/>
          </w:tcPr>
          <w:p>
            <w:pPr>
              <w:spacing w:after="0"/>
            </w:pPr>
            <w:r>
              <w:rPr>
                <w:rFonts w:ascii="Times New Roman" w:hAnsi="Times New Roman"/>
                <w:sz w:val="15"/>
              </w:rPr>
              <w:t>Strive/contend; test/prove.</w:t>
            </w:r>
          </w:p>
        </w:tc>
      </w:tr>
      <w:tr>
        <w:tc>
          <w:tcPr>
            <w:tcW w:type="dxa" w:w="3552"/>
            <w:vAlign w:val="top"/>
          </w:tcPr>
          <w:p>
            <w:pPr>
              <w:spacing w:after="0"/>
            </w:pPr>
            <w:r>
              <w:rPr>
                <w:rFonts w:ascii="Times New Roman" w:hAnsi="Times New Roman"/>
                <w:sz w:val="15"/>
              </w:rPr>
              <w:t>Ex. 17:5–6</w:t>
            </w:r>
          </w:p>
        </w:tc>
        <w:tc>
          <w:tcPr>
            <w:tcW w:type="dxa" w:w="3552"/>
            <w:vAlign w:val="top"/>
          </w:tcPr>
          <w:p>
            <w:pPr>
              <w:spacing w:after="0"/>
            </w:pPr>
            <w:r>
              <w:rPr>
                <w:rFonts w:ascii="Times New Roman" w:hAnsi="Times New Roman"/>
                <w:sz w:val="15"/>
              </w:rPr>
              <w:t>tsur</w:t>
            </w:r>
          </w:p>
        </w:tc>
        <w:tc>
          <w:tcPr>
            <w:tcW w:type="dxa" w:w="3552"/>
            <w:vAlign w:val="top"/>
          </w:tcPr>
          <w:p>
            <w:pPr>
              <w:spacing w:after="0"/>
            </w:pPr>
            <w:r>
              <w:rPr>
                <w:rFonts w:ascii="Times New Roman" w:hAnsi="Times New Roman"/>
                <w:sz w:val="15"/>
              </w:rPr>
              <w:t>Rock/rock mass; detailed geological distinction kept cautious.</w:t>
            </w:r>
          </w:p>
        </w:tc>
      </w:tr>
      <w:tr>
        <w:tc>
          <w:tcPr>
            <w:tcW w:type="dxa" w:w="3552"/>
            <w:vAlign w:val="top"/>
          </w:tcPr>
          <w:p>
            <w:pPr>
              <w:spacing w:after="0"/>
            </w:pPr>
            <w:r>
              <w:rPr>
                <w:rFonts w:ascii="Times New Roman" w:hAnsi="Times New Roman"/>
                <w:sz w:val="15"/>
              </w:rPr>
              <w:t>1 Cor. 10:4</w:t>
            </w:r>
          </w:p>
        </w:tc>
        <w:tc>
          <w:tcPr>
            <w:tcW w:type="dxa" w:w="3552"/>
            <w:vAlign w:val="top"/>
          </w:tcPr>
          <w:p>
            <w:pPr>
              <w:spacing w:after="0"/>
            </w:pPr>
            <w:r>
              <w:rPr>
                <w:rFonts w:ascii="Times New Roman" w:hAnsi="Times New Roman"/>
                <w:sz w:val="15"/>
              </w:rPr>
              <w:t>“that Rock was Christ”</w:t>
            </w:r>
          </w:p>
        </w:tc>
        <w:tc>
          <w:tcPr>
            <w:tcW w:type="dxa" w:w="3552"/>
            <w:vAlign w:val="top"/>
          </w:tcPr>
          <w:p>
            <w:pPr>
              <w:spacing w:after="0"/>
            </w:pPr>
            <w:r>
              <w:rPr>
                <w:rFonts w:ascii="Times New Roman" w:hAnsi="Times New Roman"/>
                <w:sz w:val="15"/>
              </w:rPr>
              <w:t>Explicit apostolic Christological interpretation.</w:t>
            </w:r>
          </w:p>
        </w:tc>
      </w:tr>
      <w:tr>
        <w:tc>
          <w:tcPr>
            <w:tcW w:type="dxa" w:w="3552"/>
            <w:vAlign w:val="top"/>
          </w:tcPr>
          <w:p>
            <w:pPr>
              <w:spacing w:after="0"/>
            </w:pPr>
            <w:r>
              <w:rPr>
                <w:rFonts w:ascii="Times New Roman" w:hAnsi="Times New Roman"/>
                <w:sz w:val="15"/>
              </w:rPr>
              <w:t>Ex. 17:7</w:t>
            </w:r>
          </w:p>
        </w:tc>
        <w:tc>
          <w:tcPr>
            <w:tcW w:type="dxa" w:w="3552"/>
            <w:vAlign w:val="top"/>
          </w:tcPr>
          <w:p>
            <w:pPr>
              <w:spacing w:after="0"/>
            </w:pPr>
            <w:r>
              <w:rPr>
                <w:rFonts w:ascii="Times New Roman" w:hAnsi="Times New Roman"/>
                <w:sz w:val="15"/>
              </w:rPr>
              <w:t>Massah / Meribah</w:t>
            </w:r>
          </w:p>
        </w:tc>
        <w:tc>
          <w:tcPr>
            <w:tcW w:type="dxa" w:w="3552"/>
            <w:vAlign w:val="top"/>
          </w:tcPr>
          <w:p>
            <w:pPr>
              <w:spacing w:after="0"/>
            </w:pPr>
            <w:r>
              <w:rPr>
                <w:rFonts w:ascii="Times New Roman" w:hAnsi="Times New Roman"/>
                <w:sz w:val="15"/>
              </w:rPr>
              <w:t>Testing from nasah; strife from rib.</w:t>
            </w:r>
          </w:p>
        </w:tc>
      </w:tr>
      <w:tr>
        <w:tc>
          <w:tcPr>
            <w:tcW w:type="dxa" w:w="3552"/>
            <w:vAlign w:val="top"/>
          </w:tcPr>
          <w:p>
            <w:pPr>
              <w:spacing w:after="0"/>
            </w:pPr>
            <w:r>
              <w:rPr>
                <w:rFonts w:ascii="Times New Roman" w:hAnsi="Times New Roman"/>
                <w:sz w:val="15"/>
              </w:rPr>
              <w:t>Deut. 25:17–18</w:t>
            </w:r>
          </w:p>
        </w:tc>
        <w:tc>
          <w:tcPr>
            <w:tcW w:type="dxa" w:w="3552"/>
            <w:vAlign w:val="top"/>
          </w:tcPr>
          <w:p>
            <w:pPr>
              <w:spacing w:after="0"/>
            </w:pPr>
            <w:r>
              <w:rPr>
                <w:rFonts w:ascii="Times New Roman" w:hAnsi="Times New Roman"/>
                <w:sz w:val="15"/>
              </w:rPr>
              <w:t>Amalek attacks rear</w:t>
            </w:r>
          </w:p>
        </w:tc>
        <w:tc>
          <w:tcPr>
            <w:tcW w:type="dxa" w:w="3552"/>
            <w:vAlign w:val="top"/>
          </w:tcPr>
          <w:p>
            <w:pPr>
              <w:spacing w:after="0"/>
            </w:pPr>
            <w:r>
              <w:rPr>
                <w:rFonts w:ascii="Times New Roman" w:hAnsi="Times New Roman"/>
                <w:sz w:val="15"/>
              </w:rPr>
              <w:t>Adds attack upon faint and weary stragglers.</w:t>
            </w:r>
          </w:p>
        </w:tc>
      </w:tr>
      <w:tr>
        <w:tc>
          <w:tcPr>
            <w:tcW w:type="dxa" w:w="3552"/>
            <w:vAlign w:val="top"/>
          </w:tcPr>
          <w:p>
            <w:pPr>
              <w:spacing w:after="0"/>
            </w:pPr>
            <w:r>
              <w:rPr>
                <w:rFonts w:ascii="Times New Roman" w:hAnsi="Times New Roman"/>
                <w:sz w:val="15"/>
              </w:rPr>
              <w:t>Gen. 36:12</w:t>
            </w:r>
          </w:p>
        </w:tc>
        <w:tc>
          <w:tcPr>
            <w:tcW w:type="dxa" w:w="3552"/>
            <w:vAlign w:val="top"/>
          </w:tcPr>
          <w:p>
            <w:pPr>
              <w:spacing w:after="0"/>
            </w:pPr>
            <w:r>
              <w:rPr>
                <w:rFonts w:ascii="Times New Roman" w:hAnsi="Times New Roman"/>
                <w:sz w:val="15"/>
              </w:rPr>
              <w:t>Amalek</w:t>
            </w:r>
          </w:p>
        </w:tc>
        <w:tc>
          <w:tcPr>
            <w:tcW w:type="dxa" w:w="3552"/>
            <w:vAlign w:val="top"/>
          </w:tcPr>
          <w:p>
            <w:pPr>
              <w:spacing w:after="0"/>
            </w:pPr>
            <w:r>
              <w:rPr>
                <w:rFonts w:ascii="Times New Roman" w:hAnsi="Times New Roman"/>
                <w:sz w:val="15"/>
              </w:rPr>
              <w:t>Descendant of Esau through Eliphaz.</w:t>
            </w:r>
          </w:p>
        </w:tc>
      </w:tr>
      <w:tr>
        <w:tc>
          <w:tcPr>
            <w:tcW w:type="dxa" w:w="3552"/>
            <w:vAlign w:val="top"/>
          </w:tcPr>
          <w:p>
            <w:pPr>
              <w:spacing w:after="0"/>
            </w:pPr>
            <w:r>
              <w:rPr>
                <w:rFonts w:ascii="Times New Roman" w:hAnsi="Times New Roman"/>
                <w:sz w:val="15"/>
              </w:rPr>
              <w:t>Ex. 17:9</w:t>
            </w:r>
          </w:p>
        </w:tc>
        <w:tc>
          <w:tcPr>
            <w:tcW w:type="dxa" w:w="3552"/>
            <w:vAlign w:val="top"/>
          </w:tcPr>
          <w:p>
            <w:pPr>
              <w:spacing w:after="0"/>
            </w:pPr>
            <w:r>
              <w:rPr>
                <w:rFonts w:ascii="Times New Roman" w:hAnsi="Times New Roman"/>
                <w:sz w:val="15"/>
              </w:rPr>
              <w:t>Joshua / Yehoshua</w:t>
            </w:r>
          </w:p>
        </w:tc>
        <w:tc>
          <w:tcPr>
            <w:tcW w:type="dxa" w:w="3552"/>
            <w:vAlign w:val="top"/>
          </w:tcPr>
          <w:p>
            <w:pPr>
              <w:spacing w:after="0"/>
            </w:pPr>
            <w:r>
              <w:rPr>
                <w:rFonts w:ascii="Times New Roman" w:hAnsi="Times New Roman"/>
                <w:sz w:val="15"/>
              </w:rPr>
              <w:t>Name associated with Yahweh saves; Num. 13:16 preserves later renaming tradition.</w:t>
            </w:r>
          </w:p>
        </w:tc>
      </w:tr>
      <w:tr>
        <w:tc>
          <w:tcPr>
            <w:tcW w:type="dxa" w:w="3552"/>
            <w:vAlign w:val="top"/>
          </w:tcPr>
          <w:p>
            <w:pPr>
              <w:spacing w:after="0"/>
            </w:pPr>
            <w:r>
              <w:rPr>
                <w:rFonts w:ascii="Times New Roman" w:hAnsi="Times New Roman"/>
                <w:sz w:val="15"/>
              </w:rPr>
              <w:t>Ex. 17:10</w:t>
            </w:r>
          </w:p>
        </w:tc>
        <w:tc>
          <w:tcPr>
            <w:tcW w:type="dxa" w:w="3552"/>
            <w:vAlign w:val="top"/>
          </w:tcPr>
          <w:p>
            <w:pPr>
              <w:spacing w:after="0"/>
            </w:pPr>
            <w:r>
              <w:rPr>
                <w:rFonts w:ascii="Times New Roman" w:hAnsi="Times New Roman"/>
                <w:sz w:val="15"/>
              </w:rPr>
              <w:t>Hur</w:t>
            </w:r>
          </w:p>
        </w:tc>
        <w:tc>
          <w:tcPr>
            <w:tcW w:type="dxa" w:w="3552"/>
            <w:vAlign w:val="top"/>
          </w:tcPr>
          <w:p>
            <w:pPr>
              <w:spacing w:after="0"/>
            </w:pPr>
            <w:r>
              <w:rPr>
                <w:rFonts w:ascii="Times New Roman" w:hAnsi="Times New Roman"/>
                <w:sz w:val="15"/>
              </w:rPr>
              <w:t>Identity beyond later appearances not securely recoverable here.</w:t>
            </w:r>
          </w:p>
        </w:tc>
      </w:tr>
      <w:tr>
        <w:tc>
          <w:tcPr>
            <w:tcW w:type="dxa" w:w="3552"/>
            <w:vAlign w:val="top"/>
          </w:tcPr>
          <w:p>
            <w:pPr>
              <w:spacing w:after="0"/>
            </w:pPr>
            <w:r>
              <w:rPr>
                <w:rFonts w:ascii="Times New Roman" w:hAnsi="Times New Roman"/>
                <w:sz w:val="15"/>
              </w:rPr>
              <w:t>Ex. 17:11–12</w:t>
            </w:r>
          </w:p>
        </w:tc>
        <w:tc>
          <w:tcPr>
            <w:tcW w:type="dxa" w:w="3552"/>
            <w:vAlign w:val="top"/>
          </w:tcPr>
          <w:p>
            <w:pPr>
              <w:spacing w:after="0"/>
            </w:pPr>
            <w:r>
              <w:rPr>
                <w:rFonts w:ascii="Times New Roman" w:hAnsi="Times New Roman"/>
                <w:sz w:val="15"/>
              </w:rPr>
              <w:t>raised hands</w:t>
            </w:r>
          </w:p>
        </w:tc>
        <w:tc>
          <w:tcPr>
            <w:tcW w:type="dxa" w:w="3552"/>
            <w:vAlign w:val="top"/>
          </w:tcPr>
          <w:p>
            <w:pPr>
              <w:spacing w:after="0"/>
            </w:pPr>
            <w:r>
              <w:rPr>
                <w:rFonts w:ascii="Times New Roman" w:hAnsi="Times New Roman"/>
                <w:sz w:val="15"/>
              </w:rPr>
              <w:t>Sign of continuing dependence, not magical mechanism.</w:t>
            </w:r>
          </w:p>
        </w:tc>
      </w:tr>
      <w:tr>
        <w:tc>
          <w:tcPr>
            <w:tcW w:type="dxa" w:w="3552"/>
            <w:vAlign w:val="top"/>
          </w:tcPr>
          <w:p>
            <w:pPr>
              <w:spacing w:after="0"/>
            </w:pPr>
            <w:r>
              <w:rPr>
                <w:rFonts w:ascii="Times New Roman" w:hAnsi="Times New Roman"/>
                <w:sz w:val="15"/>
              </w:rPr>
              <w:t>Ex. 17:13</w:t>
            </w:r>
          </w:p>
        </w:tc>
        <w:tc>
          <w:tcPr>
            <w:tcW w:type="dxa" w:w="3552"/>
            <w:vAlign w:val="top"/>
          </w:tcPr>
          <w:p>
            <w:pPr>
              <w:spacing w:after="0"/>
            </w:pPr>
            <w:r>
              <w:rPr>
                <w:rFonts w:ascii="Times New Roman" w:hAnsi="Times New Roman"/>
                <w:sz w:val="15"/>
              </w:rPr>
              <w:t>chalash</w:t>
            </w:r>
          </w:p>
        </w:tc>
        <w:tc>
          <w:tcPr>
            <w:tcW w:type="dxa" w:w="3552"/>
            <w:vAlign w:val="top"/>
          </w:tcPr>
          <w:p>
            <w:pPr>
              <w:spacing w:after="0"/>
            </w:pPr>
            <w:r>
              <w:rPr>
                <w:rFonts w:ascii="Times New Roman" w:hAnsi="Times New Roman"/>
                <w:sz w:val="15"/>
              </w:rPr>
              <w:t>Weaken/disable/overcome; KJV “discomfited.”</w:t>
            </w:r>
          </w:p>
        </w:tc>
      </w:tr>
      <w:tr>
        <w:tc>
          <w:tcPr>
            <w:tcW w:type="dxa" w:w="3552"/>
            <w:vAlign w:val="top"/>
          </w:tcPr>
          <w:p>
            <w:pPr>
              <w:spacing w:after="0"/>
            </w:pPr>
            <w:r>
              <w:rPr>
                <w:rFonts w:ascii="Times New Roman" w:hAnsi="Times New Roman"/>
                <w:sz w:val="15"/>
              </w:rPr>
              <w:t>Ex. 17:14</w:t>
            </w:r>
          </w:p>
        </w:tc>
        <w:tc>
          <w:tcPr>
            <w:tcW w:type="dxa" w:w="3552"/>
            <w:vAlign w:val="top"/>
          </w:tcPr>
          <w:p>
            <w:pPr>
              <w:spacing w:after="0"/>
            </w:pPr>
            <w:r>
              <w:rPr>
                <w:rFonts w:ascii="Times New Roman" w:hAnsi="Times New Roman"/>
                <w:sz w:val="15"/>
              </w:rPr>
              <w:t>sefer</w:t>
            </w:r>
          </w:p>
        </w:tc>
        <w:tc>
          <w:tcPr>
            <w:tcW w:type="dxa" w:w="3552"/>
            <w:vAlign w:val="top"/>
          </w:tcPr>
          <w:p>
            <w:pPr>
              <w:spacing w:after="0"/>
            </w:pPr>
            <w:r>
              <w:rPr>
                <w:rFonts w:ascii="Times New Roman" w:hAnsi="Times New Roman"/>
                <w:sz w:val="15"/>
              </w:rPr>
              <w:t>Written book/document/scroll memorial.</w:t>
            </w:r>
          </w:p>
        </w:tc>
      </w:tr>
      <w:tr>
        <w:tc>
          <w:tcPr>
            <w:tcW w:type="dxa" w:w="3552"/>
            <w:vAlign w:val="top"/>
          </w:tcPr>
          <w:p>
            <w:pPr>
              <w:spacing w:after="0"/>
            </w:pPr>
            <w:r>
              <w:rPr>
                <w:rFonts w:ascii="Times New Roman" w:hAnsi="Times New Roman"/>
                <w:sz w:val="15"/>
              </w:rPr>
              <w:t>Deut. 25:19</w:t>
            </w:r>
          </w:p>
        </w:tc>
        <w:tc>
          <w:tcPr>
            <w:tcW w:type="dxa" w:w="3552"/>
            <w:vAlign w:val="top"/>
          </w:tcPr>
          <w:p>
            <w:pPr>
              <w:spacing w:after="0"/>
            </w:pPr>
            <w:r>
              <w:rPr>
                <w:rFonts w:ascii="Times New Roman" w:hAnsi="Times New Roman"/>
                <w:sz w:val="15"/>
              </w:rPr>
              <w:t>Amalek memorial</w:t>
            </w:r>
          </w:p>
        </w:tc>
        <w:tc>
          <w:tcPr>
            <w:tcW w:type="dxa" w:w="3552"/>
            <w:vAlign w:val="top"/>
          </w:tcPr>
          <w:p>
            <w:pPr>
              <w:spacing w:after="0"/>
            </w:pPr>
            <w:r>
              <w:rPr>
                <w:rFonts w:ascii="Times New Roman" w:hAnsi="Times New Roman"/>
                <w:sz w:val="15"/>
              </w:rPr>
              <w:t>Later Torah command explicitly recalls this hostility.</w:t>
            </w:r>
          </w:p>
        </w:tc>
      </w:tr>
      <w:tr>
        <w:tc>
          <w:tcPr>
            <w:tcW w:type="dxa" w:w="3552"/>
            <w:vAlign w:val="top"/>
          </w:tcPr>
          <w:p>
            <w:pPr>
              <w:spacing w:after="0"/>
            </w:pPr>
            <w:r>
              <w:rPr>
                <w:rFonts w:ascii="Times New Roman" w:hAnsi="Times New Roman"/>
                <w:sz w:val="15"/>
              </w:rPr>
              <w:t>Ex. 17:15</w:t>
            </w:r>
          </w:p>
        </w:tc>
        <w:tc>
          <w:tcPr>
            <w:tcW w:type="dxa" w:w="3552"/>
            <w:vAlign w:val="top"/>
          </w:tcPr>
          <w:p>
            <w:pPr>
              <w:spacing w:after="0"/>
            </w:pPr>
            <w:r>
              <w:rPr>
                <w:rFonts w:ascii="Times New Roman" w:hAnsi="Times New Roman"/>
                <w:sz w:val="15"/>
              </w:rPr>
              <w:t>Yahweh-nissi</w:t>
            </w:r>
          </w:p>
        </w:tc>
        <w:tc>
          <w:tcPr>
            <w:tcW w:type="dxa" w:w="3552"/>
            <w:vAlign w:val="top"/>
          </w:tcPr>
          <w:p>
            <w:pPr>
              <w:spacing w:after="0"/>
            </w:pPr>
            <w:r>
              <w:rPr>
                <w:rFonts w:ascii="Times New Roman" w:hAnsi="Times New Roman"/>
                <w:sz w:val="15"/>
              </w:rPr>
              <w:t>Yahweh is/my banner.</w:t>
            </w:r>
          </w:p>
        </w:tc>
      </w:tr>
      <w:tr>
        <w:tc>
          <w:tcPr>
            <w:tcW w:type="dxa" w:w="3552"/>
            <w:vAlign w:val="top"/>
          </w:tcPr>
          <w:p>
            <w:pPr>
              <w:spacing w:after="0"/>
            </w:pPr>
            <w:r>
              <w:rPr>
                <w:rFonts w:ascii="Times New Roman" w:hAnsi="Times New Roman"/>
                <w:sz w:val="15"/>
              </w:rPr>
              <w:t>Ex. 17:16</w:t>
            </w:r>
          </w:p>
        </w:tc>
        <w:tc>
          <w:tcPr>
            <w:tcW w:type="dxa" w:w="3552"/>
            <w:vAlign w:val="top"/>
          </w:tcPr>
          <w:p>
            <w:pPr>
              <w:spacing w:after="0"/>
            </w:pPr>
            <w:r>
              <w:rPr>
                <w:rFonts w:ascii="Times New Roman" w:hAnsi="Times New Roman"/>
                <w:sz w:val="15"/>
              </w:rPr>
              <w:t>ki-yad ‘al-kes Yah</w:t>
            </w:r>
          </w:p>
        </w:tc>
        <w:tc>
          <w:tcPr>
            <w:tcW w:type="dxa" w:w="3552"/>
            <w:vAlign w:val="top"/>
          </w:tcPr>
          <w:p>
            <w:pPr>
              <w:spacing w:after="0"/>
            </w:pPr>
            <w:r>
              <w:rPr>
                <w:rFonts w:ascii="Times New Roman" w:hAnsi="Times New Roman"/>
                <w:sz w:val="15"/>
              </w:rPr>
              <w:t>Difficult syntax; perpetual Divine opposition to Amalek is clear, exact wording uncertain.</w:t>
            </w:r>
          </w:p>
        </w:tc>
      </w:tr>
    </w:tbl>
    <w:p>
      <w:pPr>
        <w:pStyle w:val="Heading1"/>
      </w:pPr>
      <w:r>
        <w:t>RESIDUAL UNCERTAINTIES</w:t>
      </w:r>
    </w:p>
    <w:p>
      <w:pPr/>
      <w:r>
        <w:rPr>
          <w:i w:val="0"/>
        </w:rPr>
        <w:t>The exact location of Rephidim, some finer lexical distinctions in Mansfield’s tsur study, and Hur’s detailed identity are uncertain. Exodus 17:16 contains a genuinely difficult Hebrew phrase and should not be reduced to one confident literal rendering. The Christological rock interpretation is secure because it is explicitly supplied by 1 Corinthians 10:4.</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8"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2"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