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18</w:t>
      </w:r>
    </w:p>
    <w:p>
      <w:pPr>
        <w:pStyle w:val="Subtitle"/>
      </w:pPr>
      <w:r>
        <w:t>JETHRO HEARS • MOSES TESTIFIES • JETHRO BLESSES YAHWEH • SACRIFICE AND FELLOWSHIP • DELEGATED JUDGMENT • QUALIFIED RULERS</w:t>
      </w:r>
    </w:p>
    <w:p>
      <w:pPr/>
      <w:r>
        <w:rPr>
          <w:i/>
        </w:rPr>
        <w:t>H. P. Mansfield Bible notes — checked and arranged in verse-by-verse Expositor style</w:t>
      </w:r>
    </w:p>
    <w:p>
      <w:pPr/>
      <w:r>
        <w:rPr>
          <w:i w:val="0"/>
        </w:rPr>
        <w:t>Source: HPB 02-Gen42-Lev11.pdf, principally Exodus 18 photographed pages 45–46</w:t>
      </w:r>
    </w:p>
    <w:p>
      <w:pPr>
        <w:pStyle w:val="Heading1"/>
      </w:pPr>
      <w:r>
        <w:t>CHAPTER OVERVIEW</w:t>
      </w:r>
    </w:p>
    <w:p>
      <w:pPr/>
      <w:r>
        <w:rPr>
          <w:i w:val="0"/>
        </w:rPr>
        <w:t>Exodus 18 combines testimony and administration. Jethro hears what Yahweh has done, rejoices, blesses Yahweh and joins in sacrifice and fellowship. The following day he sees Moses attempting to carry every judicial matter personally and advises a graded structure of qualified helpers.</w:t>
      </w:r>
    </w:p>
    <w:p>
      <w:pPr/>
      <w:r>
        <w:rPr>
          <w:i w:val="0"/>
        </w:rPr>
        <w:t>Mansfield treats the chapter as chronologically parenthetical. There are real chronological questions because verse 5 locates Moses at the mount of God and verses 16, 20 speak of statutes and laws. However, the text itself does not explicitly say the chapter is displaced, and Deuteronomy 1:9–18 can be read as recalling the same organisational development without proving an exact later date. The parenthetical view should therefore remain a plausible reconstruction rather than a certainty.</w:t>
      </w:r>
    </w:p>
    <w:p>
      <w:pPr>
        <w:pStyle w:val="Heading1"/>
      </w:pPr>
      <w:r>
        <w:t>MOSES’ FAMILY REUNITED — EXODUS 18:1–7</w:t>
      </w:r>
    </w:p>
    <w:p>
      <w:pPr>
        <w:pStyle w:val="Heading2"/>
      </w:pPr>
      <w:r>
        <w:t>Exodus 18:1 — Jethro hears what God has done</w:t>
      </w:r>
    </w:p>
    <w:p>
      <w:pPr/>
      <w:r>
        <w:rPr>
          <w:i w:val="0"/>
        </w:rPr>
        <w:t>Jethro, priest of Midian and Moses’ father-in-law, hears of all that God has done for Moses and Israel and especially that Yahweh has brought Israel out of Egypt. The Exodus has become public testimony beyond Israel, anticipating the Song’s expectation that surrounding peoples would hear.</w:t>
      </w:r>
    </w:p>
    <w:p>
      <w:pPr/>
      <w:r>
        <w:rPr>
          <w:i w:val="0"/>
        </w:rPr>
        <w:t>The family terminology around Jethro/Reuel/Hobab is difficult across Exodus and Numbers. The Hebrew chothen can denote a marriage relation such as father-in-law/brother-in-law depending on context. It is therefore safer to preserve the biblical names and relationships as stated in each passage than force a single detailed identity reconstruction.</w:t>
      </w:r>
    </w:p>
    <w:p>
      <w:pPr>
        <w:pStyle w:val="Heading2"/>
      </w:pPr>
      <w:r>
        <w:t>Exodus 18:2–4 — Zipporah, Gershom and Eliezer</w:t>
      </w:r>
    </w:p>
    <w:p>
      <w:pPr/>
      <w:r>
        <w:rPr>
          <w:i w:val="0"/>
        </w:rPr>
        <w:t>Jethro brings Zipporah, whom Moses had sent back, and the two sons. Gershom is explained in Exodus 2:22 by Moses’ statement, “I have been a stranger in a strange land.” Eliezer is explained here: “the God of my father was mine help, and delivered me from the sword of Pharaoh.” The names function as memorials of exile and Divine help.</w:t>
      </w:r>
    </w:p>
    <w:p>
      <w:pPr/>
      <w:r>
        <w:rPr>
          <w:i w:val="0"/>
        </w:rPr>
        <w:t>The text does not state exactly when or why Zipporah was sent back. Mansfield infers a return to Midian around Exodus 4:26–27; this is reasonable but remains inference.</w:t>
      </w:r>
    </w:p>
    <w:p>
      <w:pPr>
        <w:pStyle w:val="Heading2"/>
      </w:pPr>
      <w:r>
        <w:t>Exodus 18:5–7 — reunion at the mount of God</w:t>
      </w:r>
    </w:p>
    <w:p>
      <w:pPr/>
      <w:r>
        <w:rPr>
          <w:i w:val="0"/>
        </w:rPr>
        <w:t>Jethro comes to Moses in the wilderness at “the mount of God.” Moses goes out, bows, kisses him, exchanges greetings of shalom/welfare, and they enter the tent. The respectful greeting shows no conflict between Moses’ unique prophetic office and ordinary honour toward an older family member.</w:t>
      </w:r>
    </w:p>
    <w:p>
      <w:pPr>
        <w:pStyle w:val="Heading1"/>
      </w:pPr>
      <w:r>
        <w:t>MOSES TESTIFIES; JETHRO RESPONDS — EXODUS 18:8–12</w:t>
      </w:r>
    </w:p>
    <w:p>
      <w:pPr>
        <w:pStyle w:val="Heading2"/>
      </w:pPr>
      <w:r>
        <w:t>Exodus 18:8 — the testimony centres on Yahweh</w:t>
      </w:r>
    </w:p>
    <w:p>
      <w:pPr/>
      <w:r>
        <w:rPr>
          <w:i w:val="0"/>
        </w:rPr>
        <w:t>Moses tells Jethro all Yahweh did to Pharaoh and Egypt for Israel’s sake, the hardship encountered on the journey, and how Yahweh delivered them. Moses’ testimony is conspicuously God-centred: he does not present himself as the hero of the Exodus.</w:t>
      </w:r>
    </w:p>
    <w:p>
      <w:pPr>
        <w:pStyle w:val="Heading2"/>
      </w:pPr>
      <w:r>
        <w:t>Exodus 18:9–10 — rejoicing and blessing</w:t>
      </w:r>
    </w:p>
    <w:p>
      <w:pPr/>
      <w:r>
        <w:rPr>
          <w:i w:val="0"/>
        </w:rPr>
        <w:t>Jethro rejoices over all the goodness Yahweh has shown Israel and says, “Blessed be Yahweh.” The verb barak can carry the idea of blessing, praise or kneeling, but it should not be reduced mechanically to “kneel” in every occurrence. Here Jethro verbally blesses/praises Yahweh for deliverance.</w:t>
      </w:r>
    </w:p>
    <w:p>
      <w:pPr>
        <w:pStyle w:val="Heading2"/>
      </w:pPr>
      <w:r>
        <w:t>Exodus 18:11 — “greater than all gods”</w:t>
      </w:r>
    </w:p>
    <w:p>
      <w:pPr/>
      <w:r>
        <w:rPr>
          <w:i w:val="0"/>
        </w:rPr>
        <w:t>Jethro confesses, “Now I know that Yahweh is greater than all gods.” The final clause is difficult but is best understood along the sense that in the very matter in which the Egyptians acted arrogantly, Yahweh proved Himself above or against them. The KJV supplies “he was above them”; those words are not represented by a separate Hebrew verb, so Mansfield is right to flag the construction, but the theological sense of Yahweh’s superiority is established by the whole verse.</w:t>
      </w:r>
    </w:p>
    <w:p>
      <w:pPr/>
      <w:r>
        <w:rPr>
          <w:i w:val="0"/>
        </w:rPr>
        <w:t>This is another answer to Pharaoh’s “Who is Yahweh?” The judgments upon Egypt have produced knowledge of Yahweh among outsiders.</w:t>
      </w:r>
    </w:p>
    <w:p>
      <w:pPr>
        <w:pStyle w:val="Heading2"/>
      </w:pPr>
      <w:r>
        <w:t>Exodus 18:12 — sacrifice and fellowship before God</w:t>
      </w:r>
    </w:p>
    <w:p>
      <w:pPr/>
      <w:r>
        <w:rPr>
          <w:i w:val="0"/>
        </w:rPr>
        <w:t>Jethro offers a burnt offering and sacrifices to God, and Aaron and Israel’s elders eat bread with him “before God.” The meal is covenantal/fellowship language in context, grounded in shared acknowledgement of Yahweh’s saving work.</w:t>
      </w:r>
    </w:p>
    <w:p>
      <w:pPr/>
      <w:r>
        <w:rPr>
          <w:i w:val="0"/>
        </w:rPr>
        <w:t>The text certainly presents Jethro worshipping the God of Israel. Whether this should be described as a formal “conversion” in later ecclesial terms goes beyond the wording and is best kept as Mansfield’s theological application.</w:t>
      </w:r>
    </w:p>
    <w:p>
      <w:pPr>
        <w:pStyle w:val="Heading1"/>
      </w:pPr>
      <w:r>
        <w:t>MOSES JUDGES ALONE — EXODUS 18:13–18</w:t>
      </w:r>
    </w:p>
    <w:p>
      <w:pPr>
        <w:pStyle w:val="Heading2"/>
      </w:pPr>
      <w:r>
        <w:t>Exodus 18:13–16 — necessary work, unsustainable method</w:t>
      </w:r>
    </w:p>
    <w:p>
      <w:pPr/>
      <w:r>
        <w:rPr>
          <w:i w:val="0"/>
        </w:rPr>
        <w:t>From morning to evening Moses sits to judge while the people stand waiting. He explains that they come to enquire of God and that he makes known God’s statutes and laws. The work itself is necessary; the organisational problem is that one man has become the bottleneck for every dispute.</w:t>
      </w:r>
    </w:p>
    <w:p>
      <w:pPr/>
      <w:r>
        <w:rPr>
          <w:i w:val="0"/>
        </w:rPr>
        <w:t>Reference to statutes and laws does not by itself prove that the complete Sinai legislation of chapters 20–24 had already been formally delivered. Israel has already received commands and statutes before Sinai, including Exodus 15:25 and the manna/Sabbath instructions of Exodus 16.</w:t>
      </w:r>
    </w:p>
    <w:p>
      <w:pPr>
        <w:pStyle w:val="Heading2"/>
      </w:pPr>
      <w:r>
        <w:t>Exodus 18:17–18 — “thou wilt surely wear away”</w:t>
      </w:r>
    </w:p>
    <w:p>
      <w:pPr/>
      <w:r>
        <w:rPr>
          <w:i w:val="0"/>
        </w:rPr>
        <w:t>Jethro says plainly, “The thing that thou doest is not good.” The phrase nabol tibbol is emphatic: you will surely wither/wear out, together with the people. Spiritual zeal does not sanctify an organisational structure that unnecessarily exhausts both leader and congregation.</w:t>
      </w:r>
    </w:p>
    <w:p>
      <w:pPr>
        <w:pStyle w:val="Heading1"/>
      </w:pPr>
      <w:r>
        <w:t>JETHRO’S COUNSEL — EXODUS 18:19–23</w:t>
      </w:r>
    </w:p>
    <w:p>
      <w:pPr>
        <w:pStyle w:val="Heading2"/>
      </w:pPr>
      <w:r>
        <w:t>Exodus 18:19–20 — Moses retains mediation and teaching</w:t>
      </w:r>
    </w:p>
    <w:p>
      <w:pPr/>
      <w:r>
        <w:rPr>
          <w:i w:val="0"/>
        </w:rPr>
        <w:t>Jethro does not advise Moses to abandon his unique role. Moses is to represent the people before God, bring difficult causes to God, teach ordinances and laws, and show the people the way to walk and the work to do. Delegation therefore protects, rather than diminishes, the leader’s essential teaching and mediating responsibilities.</w:t>
      </w:r>
    </w:p>
    <w:p>
      <w:pPr>
        <w:pStyle w:val="Heading2"/>
      </w:pPr>
      <w:r>
        <w:t>Exodus 18:21 — qualifications before rank</w:t>
      </w:r>
    </w:p>
    <w:p>
      <w:pPr/>
      <w:r>
        <w:rPr>
          <w:i w:val="0"/>
        </w:rPr>
        <w:t>Those appointed must be anshei-chayil, able/capable men; yir’ei Elohim, fearing God; anshei emeth, men of truth; and son’ei batza, hating dishonest gain/covetousness. Batza can mean unjust gain, profit obtained by violence or greed; “hating covetousness” captures the ethical principle though “hating dishonest gain” is more precise.</w:t>
      </w:r>
    </w:p>
    <w:p>
      <w:pPr/>
      <w:r>
        <w:rPr>
          <w:i w:val="0"/>
        </w:rPr>
        <w:t>They are placed over thousands, hundreds, fifties and tens. The graded structure distributes workload, but the heart of the passage is moral qualification, not fascination with a decimal hierarchy.</w:t>
      </w:r>
    </w:p>
    <w:p>
      <w:pPr>
        <w:pStyle w:val="Heading2"/>
      </w:pPr>
      <w:r>
        <w:t>Exodus 18:22–23 — delegated ordinary matters; great matters retained</w:t>
      </w:r>
    </w:p>
    <w:p>
      <w:pPr/>
      <w:r>
        <w:rPr>
          <w:i w:val="0"/>
        </w:rPr>
        <w:t>The rulers are to judge routinely, bringing great/difficult matters to Moses and deciding smaller matters themselves. The burden becomes shared. Crucially Jethro adds, “If thou shalt do this thing, and God command thee so.” Practical wisdom remains subordinate to Divine approval.</w:t>
      </w:r>
    </w:p>
    <w:p>
      <w:pPr>
        <w:pStyle w:val="Heading1"/>
      </w:pPr>
      <w:r>
        <w:t>MOSES HEARKENS — EXODUS 18:24–27</w:t>
      </w:r>
    </w:p>
    <w:p>
      <w:pPr>
        <w:pStyle w:val="Heading2"/>
      </w:pPr>
      <w:r>
        <w:t>Exodus 18:24–26 — humility receives counsel</w:t>
      </w:r>
    </w:p>
    <w:p>
      <w:pPr/>
      <w:r>
        <w:rPr>
          <w:i w:val="0"/>
        </w:rPr>
        <w:t>Moses listens to his father-in-law and implements the structure. Difficult causes continue to come to Moses; routine judgments are handled by the appointed rulers. Accepting sound counsel is presented as wisdom, not weakness. Moses’ authority is strengthened because it no longer depends on personally controlling every decision.</w:t>
      </w:r>
    </w:p>
    <w:p>
      <w:pPr>
        <w:pStyle w:val="Heading2"/>
      </w:pPr>
      <w:r>
        <w:t>Exodus 18:27 — Jethro returns to his land</w:t>
      </w:r>
    </w:p>
    <w:p>
      <w:pPr/>
      <w:r>
        <w:rPr>
          <w:i w:val="0"/>
        </w:rPr>
        <w:t>Moses lets Jethro depart to his own land. Numbers 10:29–32 later records Moses urging Hobab, a Midianite relative, to travel with Israel. Because the relationships and chronology are debated, this later passage should not be used to force Exodus 18:27 into one exact reconstruction.</w:t>
      </w:r>
    </w:p>
    <w:p>
      <w:pPr>
        <w:pStyle w:val="Heading1"/>
      </w:pPr>
      <w:r>
        <w:t>ORGANISATIONAL LESSON</w:t>
      </w:r>
    </w:p>
    <w:p>
      <w:pPr/>
      <w:r>
        <w:rPr>
          <w:i w:val="0"/>
        </w:rPr>
        <w:t>Mansfield’s practical application is well founded: leadership should not make one person the sole channel for every routine decision. Delegation requires trustworthy people, clear teaching, defined limits and retained accountability. The passage values fear of God, truthfulness and freedom from dishonest gain at least as highly as administrative ability.</w:t>
      </w:r>
    </w:p>
    <w:p>
      <w:pPr>
        <w:pStyle w:val="Heading1"/>
      </w:pPr>
      <w:r>
        <w:t>PRINCIPAL THEMES</w:t>
      </w:r>
    </w:p>
    <w:p>
      <w:pPr>
        <w:ind w:left="259" w:hanging="202"/>
      </w:pPr>
      <w:r>
        <w:rPr>
          <w:b/>
        </w:rPr>
        <w:t xml:space="preserve">• </w:t>
      </w:r>
      <w:r>
        <w:t>The Exodus makes Yahweh known beyond Israel.</w:t>
      </w:r>
    </w:p>
    <w:p>
      <w:pPr>
        <w:ind w:left="259" w:hanging="202"/>
      </w:pPr>
      <w:r>
        <w:rPr>
          <w:b/>
        </w:rPr>
        <w:t xml:space="preserve">• </w:t>
      </w:r>
      <w:r>
        <w:t>Faithful testimony magnifies what God has done rather than the achievements of the human leader.</w:t>
      </w:r>
    </w:p>
    <w:p>
      <w:pPr>
        <w:ind w:left="259" w:hanging="202"/>
      </w:pPr>
      <w:r>
        <w:rPr>
          <w:b/>
        </w:rPr>
        <w:t xml:space="preserve">• </w:t>
      </w:r>
      <w:r>
        <w:t>Worship and fellowship follow recognition of Yahweh’s deliverance.</w:t>
      </w:r>
    </w:p>
    <w:p>
      <w:pPr>
        <w:ind w:left="259" w:hanging="202"/>
      </w:pPr>
      <w:r>
        <w:rPr>
          <w:b/>
        </w:rPr>
        <w:t xml:space="preserve">• </w:t>
      </w:r>
      <w:r>
        <w:t>Necessary spiritual work can still be organised in an unhealthy way.</w:t>
      </w:r>
    </w:p>
    <w:p>
      <w:pPr>
        <w:ind w:left="259" w:hanging="202"/>
      </w:pPr>
      <w:r>
        <w:rPr>
          <w:b/>
        </w:rPr>
        <w:t xml:space="preserve">• </w:t>
      </w:r>
      <w:r>
        <w:t>Delegation protects essential teaching and mediation rather than abolishing oversight.</w:t>
      </w:r>
    </w:p>
    <w:p>
      <w:pPr>
        <w:ind w:left="259" w:hanging="202"/>
      </w:pPr>
      <w:r>
        <w:rPr>
          <w:b/>
        </w:rPr>
        <w:t xml:space="preserve">• </w:t>
      </w:r>
      <w:r>
        <w:t>Character qualifications matter more than rank or efficiency.</w:t>
      </w:r>
    </w:p>
    <w:p>
      <w:pPr>
        <w:ind w:left="259" w:hanging="202"/>
      </w:pPr>
      <w:r>
        <w:rPr>
          <w:b/>
        </w:rPr>
        <w:t xml:space="preserve">• </w:t>
      </w:r>
      <w:r>
        <w:t>Wise practical counsel remains subject to God’s command.</w:t>
      </w:r>
    </w:p>
    <w:p>
      <w:pPr>
        <w:ind w:left="259" w:hanging="202"/>
      </w:pPr>
      <w:r>
        <w:rPr>
          <w:b/>
        </w:rPr>
        <w:t xml:space="preserve">• </w:t>
      </w:r>
      <w:r>
        <w:t>Moses models humility by receiving and acting upon sound advice.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18 chronology</w:t>
            </w:r>
          </w:p>
        </w:tc>
        <w:tc>
          <w:tcPr>
            <w:tcW w:type="dxa" w:w="3552"/>
            <w:vAlign w:val="top"/>
          </w:tcPr>
          <w:p>
            <w:pPr>
              <w:spacing w:after="0"/>
            </w:pPr>
            <w:r>
              <w:rPr>
                <w:rFonts w:ascii="Times New Roman" w:hAnsi="Times New Roman"/>
                <w:sz w:val="14"/>
              </w:rPr>
              <w:t>parenthetical view</w:t>
            </w:r>
          </w:p>
        </w:tc>
        <w:tc>
          <w:tcPr>
            <w:tcW w:type="dxa" w:w="3552"/>
            <w:vAlign w:val="top"/>
          </w:tcPr>
          <w:p>
            <w:pPr>
              <w:spacing w:after="0"/>
            </w:pPr>
            <w:r>
              <w:rPr>
                <w:rFonts w:ascii="Times New Roman" w:hAnsi="Times New Roman"/>
                <w:sz w:val="14"/>
              </w:rPr>
              <w:t>Plausible but not explicit; statutes existed before formal Sinai law.</w:t>
            </w:r>
          </w:p>
        </w:tc>
      </w:tr>
      <w:tr>
        <w:tc>
          <w:tcPr>
            <w:tcW w:type="dxa" w:w="3552"/>
            <w:vAlign w:val="top"/>
          </w:tcPr>
          <w:p>
            <w:pPr>
              <w:spacing w:after="0"/>
            </w:pPr>
            <w:r>
              <w:rPr>
                <w:rFonts w:ascii="Times New Roman" w:hAnsi="Times New Roman"/>
                <w:sz w:val="14"/>
              </w:rPr>
              <w:t>Ex. 18:1</w:t>
            </w:r>
          </w:p>
        </w:tc>
        <w:tc>
          <w:tcPr>
            <w:tcW w:type="dxa" w:w="3552"/>
            <w:vAlign w:val="top"/>
          </w:tcPr>
          <w:p>
            <w:pPr>
              <w:spacing w:after="0"/>
            </w:pPr>
            <w:r>
              <w:rPr>
                <w:rFonts w:ascii="Times New Roman" w:hAnsi="Times New Roman"/>
                <w:sz w:val="14"/>
              </w:rPr>
              <w:t>Jethro / Reuel / Hobab</w:t>
            </w:r>
          </w:p>
        </w:tc>
        <w:tc>
          <w:tcPr>
            <w:tcW w:type="dxa" w:w="3552"/>
            <w:vAlign w:val="top"/>
          </w:tcPr>
          <w:p>
            <w:pPr>
              <w:spacing w:after="0"/>
            </w:pPr>
            <w:r>
              <w:rPr>
                <w:rFonts w:ascii="Times New Roman" w:hAnsi="Times New Roman"/>
                <w:sz w:val="14"/>
              </w:rPr>
              <w:t>Family-name relationships across passages are complex; no forced harmonisation.</w:t>
            </w:r>
          </w:p>
        </w:tc>
      </w:tr>
      <w:tr>
        <w:tc>
          <w:tcPr>
            <w:tcW w:type="dxa" w:w="3552"/>
            <w:vAlign w:val="top"/>
          </w:tcPr>
          <w:p>
            <w:pPr>
              <w:spacing w:after="0"/>
            </w:pPr>
            <w:r>
              <w:rPr>
                <w:rFonts w:ascii="Times New Roman" w:hAnsi="Times New Roman"/>
                <w:sz w:val="14"/>
              </w:rPr>
              <w:t>Ex. 18:1</w:t>
            </w:r>
          </w:p>
        </w:tc>
        <w:tc>
          <w:tcPr>
            <w:tcW w:type="dxa" w:w="3552"/>
            <w:vAlign w:val="top"/>
          </w:tcPr>
          <w:p>
            <w:pPr>
              <w:spacing w:after="0"/>
            </w:pPr>
            <w:r>
              <w:rPr>
                <w:rFonts w:ascii="Times New Roman" w:hAnsi="Times New Roman"/>
                <w:sz w:val="14"/>
              </w:rPr>
              <w:t>chothen/chathan family term</w:t>
            </w:r>
          </w:p>
        </w:tc>
        <w:tc>
          <w:tcPr>
            <w:tcW w:type="dxa" w:w="3552"/>
            <w:vAlign w:val="top"/>
          </w:tcPr>
          <w:p>
            <w:pPr>
              <w:spacing w:after="0"/>
            </w:pPr>
            <w:r>
              <w:rPr>
                <w:rFonts w:ascii="Times New Roman" w:hAnsi="Times New Roman"/>
                <w:sz w:val="14"/>
              </w:rPr>
              <w:t>Marriage-relative terminology can vary by context.</w:t>
            </w:r>
          </w:p>
        </w:tc>
      </w:tr>
      <w:tr>
        <w:tc>
          <w:tcPr>
            <w:tcW w:type="dxa" w:w="3552"/>
            <w:vAlign w:val="top"/>
          </w:tcPr>
          <w:p>
            <w:pPr>
              <w:spacing w:after="0"/>
            </w:pPr>
            <w:r>
              <w:rPr>
                <w:rFonts w:ascii="Times New Roman" w:hAnsi="Times New Roman"/>
                <w:sz w:val="14"/>
              </w:rPr>
              <w:t>Ex. 18:2</w:t>
            </w:r>
          </w:p>
        </w:tc>
        <w:tc>
          <w:tcPr>
            <w:tcW w:type="dxa" w:w="3552"/>
            <w:vAlign w:val="top"/>
          </w:tcPr>
          <w:p>
            <w:pPr>
              <w:spacing w:after="0"/>
            </w:pPr>
            <w:r>
              <w:rPr>
                <w:rFonts w:ascii="Times New Roman" w:hAnsi="Times New Roman"/>
                <w:sz w:val="14"/>
              </w:rPr>
              <w:t>Zipporah sent back</w:t>
            </w:r>
          </w:p>
        </w:tc>
        <w:tc>
          <w:tcPr>
            <w:tcW w:type="dxa" w:w="3552"/>
            <w:vAlign w:val="top"/>
          </w:tcPr>
          <w:p>
            <w:pPr>
              <w:spacing w:after="0"/>
            </w:pPr>
            <w:r>
              <w:rPr>
                <w:rFonts w:ascii="Times New Roman" w:hAnsi="Times New Roman"/>
                <w:sz w:val="14"/>
              </w:rPr>
              <w:t>Return to Midian is inference, not narrated explicitly.</w:t>
            </w:r>
          </w:p>
        </w:tc>
      </w:tr>
      <w:tr>
        <w:tc>
          <w:tcPr>
            <w:tcW w:type="dxa" w:w="3552"/>
            <w:vAlign w:val="top"/>
          </w:tcPr>
          <w:p>
            <w:pPr>
              <w:spacing w:after="0"/>
            </w:pPr>
            <w:r>
              <w:rPr>
                <w:rFonts w:ascii="Times New Roman" w:hAnsi="Times New Roman"/>
                <w:sz w:val="14"/>
              </w:rPr>
              <w:t>Ex. 18:3</w:t>
            </w:r>
          </w:p>
        </w:tc>
        <w:tc>
          <w:tcPr>
            <w:tcW w:type="dxa" w:w="3552"/>
            <w:vAlign w:val="top"/>
          </w:tcPr>
          <w:p>
            <w:pPr>
              <w:spacing w:after="0"/>
            </w:pPr>
            <w:r>
              <w:rPr>
                <w:rFonts w:ascii="Times New Roman" w:hAnsi="Times New Roman"/>
                <w:sz w:val="14"/>
              </w:rPr>
              <w:t>Gershom</w:t>
            </w:r>
          </w:p>
        </w:tc>
        <w:tc>
          <w:tcPr>
            <w:tcW w:type="dxa" w:w="3552"/>
            <w:vAlign w:val="top"/>
          </w:tcPr>
          <w:p>
            <w:pPr>
              <w:spacing w:after="0"/>
            </w:pPr>
            <w:r>
              <w:rPr>
                <w:rFonts w:ascii="Times New Roman" w:hAnsi="Times New Roman"/>
                <w:sz w:val="14"/>
              </w:rPr>
              <w:t>Narrative memorial of being a stranger/sojourner.</w:t>
            </w:r>
          </w:p>
        </w:tc>
      </w:tr>
      <w:tr>
        <w:tc>
          <w:tcPr>
            <w:tcW w:type="dxa" w:w="3552"/>
            <w:vAlign w:val="top"/>
          </w:tcPr>
          <w:p>
            <w:pPr>
              <w:spacing w:after="0"/>
            </w:pPr>
            <w:r>
              <w:rPr>
                <w:rFonts w:ascii="Times New Roman" w:hAnsi="Times New Roman"/>
                <w:sz w:val="14"/>
              </w:rPr>
              <w:t>Ex. 18:4</w:t>
            </w:r>
          </w:p>
        </w:tc>
        <w:tc>
          <w:tcPr>
            <w:tcW w:type="dxa" w:w="3552"/>
            <w:vAlign w:val="top"/>
          </w:tcPr>
          <w:p>
            <w:pPr>
              <w:spacing w:after="0"/>
            </w:pPr>
            <w:r>
              <w:rPr>
                <w:rFonts w:ascii="Times New Roman" w:hAnsi="Times New Roman"/>
                <w:sz w:val="14"/>
              </w:rPr>
              <w:t>Eliezer</w:t>
            </w:r>
          </w:p>
        </w:tc>
        <w:tc>
          <w:tcPr>
            <w:tcW w:type="dxa" w:w="3552"/>
            <w:vAlign w:val="top"/>
          </w:tcPr>
          <w:p>
            <w:pPr>
              <w:spacing w:after="0"/>
            </w:pPr>
            <w:r>
              <w:rPr>
                <w:rFonts w:ascii="Times New Roman" w:hAnsi="Times New Roman"/>
                <w:sz w:val="14"/>
              </w:rPr>
              <w:t>“My God is help”; explanation supplied by verse itself.</w:t>
            </w:r>
          </w:p>
        </w:tc>
      </w:tr>
      <w:tr>
        <w:tc>
          <w:tcPr>
            <w:tcW w:type="dxa" w:w="3552"/>
            <w:vAlign w:val="top"/>
          </w:tcPr>
          <w:p>
            <w:pPr>
              <w:spacing w:after="0"/>
            </w:pPr>
            <w:r>
              <w:rPr>
                <w:rFonts w:ascii="Times New Roman" w:hAnsi="Times New Roman"/>
                <w:sz w:val="14"/>
              </w:rPr>
              <w:t>Ex. 18:7</w:t>
            </w:r>
          </w:p>
        </w:tc>
        <w:tc>
          <w:tcPr>
            <w:tcW w:type="dxa" w:w="3552"/>
            <w:vAlign w:val="top"/>
          </w:tcPr>
          <w:p>
            <w:pPr>
              <w:spacing w:after="0"/>
            </w:pPr>
            <w:r>
              <w:rPr>
                <w:rFonts w:ascii="Times New Roman" w:hAnsi="Times New Roman"/>
                <w:sz w:val="14"/>
              </w:rPr>
              <w:t>shalom/welfare</w:t>
            </w:r>
          </w:p>
        </w:tc>
        <w:tc>
          <w:tcPr>
            <w:tcW w:type="dxa" w:w="3552"/>
            <w:vAlign w:val="top"/>
          </w:tcPr>
          <w:p>
            <w:pPr>
              <w:spacing w:after="0"/>
            </w:pPr>
            <w:r>
              <w:rPr>
                <w:rFonts w:ascii="Times New Roman" w:hAnsi="Times New Roman"/>
                <w:sz w:val="14"/>
              </w:rPr>
              <w:t>Mutual greeting; respectful family reunion.</w:t>
            </w:r>
          </w:p>
        </w:tc>
      </w:tr>
      <w:tr>
        <w:tc>
          <w:tcPr>
            <w:tcW w:type="dxa" w:w="3552"/>
            <w:vAlign w:val="top"/>
          </w:tcPr>
          <w:p>
            <w:pPr>
              <w:spacing w:after="0"/>
            </w:pPr>
            <w:r>
              <w:rPr>
                <w:rFonts w:ascii="Times New Roman" w:hAnsi="Times New Roman"/>
                <w:sz w:val="14"/>
              </w:rPr>
              <w:t>Ex. 18:10</w:t>
            </w:r>
          </w:p>
        </w:tc>
        <w:tc>
          <w:tcPr>
            <w:tcW w:type="dxa" w:w="3552"/>
            <w:vAlign w:val="top"/>
          </w:tcPr>
          <w:p>
            <w:pPr>
              <w:spacing w:after="0"/>
            </w:pPr>
            <w:r>
              <w:rPr>
                <w:rFonts w:ascii="Times New Roman" w:hAnsi="Times New Roman"/>
                <w:sz w:val="14"/>
              </w:rPr>
              <w:t>barak</w:t>
            </w:r>
          </w:p>
        </w:tc>
        <w:tc>
          <w:tcPr>
            <w:tcW w:type="dxa" w:w="3552"/>
            <w:vAlign w:val="top"/>
          </w:tcPr>
          <w:p>
            <w:pPr>
              <w:spacing w:after="0"/>
            </w:pPr>
            <w:r>
              <w:rPr>
                <w:rFonts w:ascii="Times New Roman" w:hAnsi="Times New Roman"/>
                <w:sz w:val="14"/>
              </w:rPr>
              <w:t>Bless/praise; root can be associated with kneeling but not reduced to that in every context.</w:t>
            </w:r>
          </w:p>
        </w:tc>
      </w:tr>
      <w:tr>
        <w:tc>
          <w:tcPr>
            <w:tcW w:type="dxa" w:w="3552"/>
            <w:vAlign w:val="top"/>
          </w:tcPr>
          <w:p>
            <w:pPr>
              <w:spacing w:after="0"/>
            </w:pPr>
            <w:r>
              <w:rPr>
                <w:rFonts w:ascii="Times New Roman" w:hAnsi="Times New Roman"/>
                <w:sz w:val="14"/>
              </w:rPr>
              <w:t>Ex. 18:11</w:t>
            </w:r>
          </w:p>
        </w:tc>
        <w:tc>
          <w:tcPr>
            <w:tcW w:type="dxa" w:w="3552"/>
            <w:vAlign w:val="top"/>
          </w:tcPr>
          <w:p>
            <w:pPr>
              <w:spacing w:after="0"/>
            </w:pPr>
            <w:r>
              <w:rPr>
                <w:rFonts w:ascii="Times New Roman" w:hAnsi="Times New Roman"/>
                <w:sz w:val="14"/>
              </w:rPr>
              <w:t>difficult final clause</w:t>
            </w:r>
          </w:p>
        </w:tc>
        <w:tc>
          <w:tcPr>
            <w:tcW w:type="dxa" w:w="3552"/>
            <w:vAlign w:val="top"/>
          </w:tcPr>
          <w:p>
            <w:pPr>
              <w:spacing w:after="0"/>
            </w:pPr>
            <w:r>
              <w:rPr>
                <w:rFonts w:ascii="Times New Roman" w:hAnsi="Times New Roman"/>
                <w:sz w:val="14"/>
              </w:rPr>
              <w:t>KJV supplies “he was above them”; Yahweh’s superiority remains clear.</w:t>
            </w:r>
          </w:p>
        </w:tc>
      </w:tr>
      <w:tr>
        <w:tc>
          <w:tcPr>
            <w:tcW w:type="dxa" w:w="3552"/>
            <w:vAlign w:val="top"/>
          </w:tcPr>
          <w:p>
            <w:pPr>
              <w:spacing w:after="0"/>
            </w:pPr>
            <w:r>
              <w:rPr>
                <w:rFonts w:ascii="Times New Roman" w:hAnsi="Times New Roman"/>
                <w:sz w:val="14"/>
              </w:rPr>
              <w:t>Ex. 18:12</w:t>
            </w:r>
          </w:p>
        </w:tc>
        <w:tc>
          <w:tcPr>
            <w:tcW w:type="dxa" w:w="3552"/>
            <w:vAlign w:val="top"/>
          </w:tcPr>
          <w:p>
            <w:pPr>
              <w:spacing w:after="0"/>
            </w:pPr>
            <w:r>
              <w:rPr>
                <w:rFonts w:ascii="Times New Roman" w:hAnsi="Times New Roman"/>
                <w:sz w:val="14"/>
              </w:rPr>
              <w:t>sacrifice and meal</w:t>
            </w:r>
          </w:p>
        </w:tc>
        <w:tc>
          <w:tcPr>
            <w:tcW w:type="dxa" w:w="3552"/>
            <w:vAlign w:val="top"/>
          </w:tcPr>
          <w:p>
            <w:pPr>
              <w:spacing w:after="0"/>
            </w:pPr>
            <w:r>
              <w:rPr>
                <w:rFonts w:ascii="Times New Roman" w:hAnsi="Times New Roman"/>
                <w:sz w:val="14"/>
              </w:rPr>
              <w:t>Jethro worships God and shares fellowship with Aaron/elders.</w:t>
            </w:r>
          </w:p>
        </w:tc>
      </w:tr>
      <w:tr>
        <w:tc>
          <w:tcPr>
            <w:tcW w:type="dxa" w:w="3552"/>
            <w:vAlign w:val="top"/>
          </w:tcPr>
          <w:p>
            <w:pPr>
              <w:spacing w:after="0"/>
            </w:pPr>
            <w:r>
              <w:rPr>
                <w:rFonts w:ascii="Times New Roman" w:hAnsi="Times New Roman"/>
                <w:sz w:val="14"/>
              </w:rPr>
              <w:t>Ex. 18:16</w:t>
            </w:r>
          </w:p>
        </w:tc>
        <w:tc>
          <w:tcPr>
            <w:tcW w:type="dxa" w:w="3552"/>
            <w:vAlign w:val="top"/>
          </w:tcPr>
          <w:p>
            <w:pPr>
              <w:spacing w:after="0"/>
            </w:pPr>
            <w:r>
              <w:rPr>
                <w:rFonts w:ascii="Times New Roman" w:hAnsi="Times New Roman"/>
                <w:sz w:val="14"/>
              </w:rPr>
              <w:t>statutes/laws</w:t>
            </w:r>
          </w:p>
        </w:tc>
        <w:tc>
          <w:tcPr>
            <w:tcW w:type="dxa" w:w="3552"/>
            <w:vAlign w:val="top"/>
          </w:tcPr>
          <w:p>
            <w:pPr>
              <w:spacing w:after="0"/>
            </w:pPr>
            <w:r>
              <w:rPr>
                <w:rFonts w:ascii="Times New Roman" w:hAnsi="Times New Roman"/>
                <w:sz w:val="14"/>
              </w:rPr>
              <w:t>Does not require all Ex. 20–24 legislation already delivered.</w:t>
            </w:r>
          </w:p>
        </w:tc>
      </w:tr>
      <w:tr>
        <w:tc>
          <w:tcPr>
            <w:tcW w:type="dxa" w:w="3552"/>
            <w:vAlign w:val="top"/>
          </w:tcPr>
          <w:p>
            <w:pPr>
              <w:spacing w:after="0"/>
            </w:pPr>
            <w:r>
              <w:rPr>
                <w:rFonts w:ascii="Times New Roman" w:hAnsi="Times New Roman"/>
                <w:sz w:val="14"/>
              </w:rPr>
              <w:t>Ex. 18:18</w:t>
            </w:r>
          </w:p>
        </w:tc>
        <w:tc>
          <w:tcPr>
            <w:tcW w:type="dxa" w:w="3552"/>
            <w:vAlign w:val="top"/>
          </w:tcPr>
          <w:p>
            <w:pPr>
              <w:spacing w:after="0"/>
            </w:pPr>
            <w:r>
              <w:rPr>
                <w:rFonts w:ascii="Times New Roman" w:hAnsi="Times New Roman"/>
                <w:sz w:val="14"/>
              </w:rPr>
              <w:t>nabol tibbol</w:t>
            </w:r>
          </w:p>
        </w:tc>
        <w:tc>
          <w:tcPr>
            <w:tcW w:type="dxa" w:w="3552"/>
            <w:vAlign w:val="top"/>
          </w:tcPr>
          <w:p>
            <w:pPr>
              <w:spacing w:after="0"/>
            </w:pPr>
            <w:r>
              <w:rPr>
                <w:rFonts w:ascii="Times New Roman" w:hAnsi="Times New Roman"/>
                <w:sz w:val="14"/>
              </w:rPr>
              <w:t>Emphatic: surely wear/wither away.</w:t>
            </w:r>
          </w:p>
        </w:tc>
      </w:tr>
      <w:tr>
        <w:tc>
          <w:tcPr>
            <w:tcW w:type="dxa" w:w="3552"/>
            <w:vAlign w:val="top"/>
          </w:tcPr>
          <w:p>
            <w:pPr>
              <w:spacing w:after="0"/>
            </w:pPr>
            <w:r>
              <w:rPr>
                <w:rFonts w:ascii="Times New Roman" w:hAnsi="Times New Roman"/>
                <w:sz w:val="14"/>
              </w:rPr>
              <w:t>Ex. 18:21</w:t>
            </w:r>
          </w:p>
        </w:tc>
        <w:tc>
          <w:tcPr>
            <w:tcW w:type="dxa" w:w="3552"/>
            <w:vAlign w:val="top"/>
          </w:tcPr>
          <w:p>
            <w:pPr>
              <w:spacing w:after="0"/>
            </w:pPr>
            <w:r>
              <w:rPr>
                <w:rFonts w:ascii="Times New Roman" w:hAnsi="Times New Roman"/>
                <w:sz w:val="14"/>
              </w:rPr>
              <w:t>anshei chayil</w:t>
            </w:r>
          </w:p>
        </w:tc>
        <w:tc>
          <w:tcPr>
            <w:tcW w:type="dxa" w:w="3552"/>
            <w:vAlign w:val="top"/>
          </w:tcPr>
          <w:p>
            <w:pPr>
              <w:spacing w:after="0"/>
            </w:pPr>
            <w:r>
              <w:rPr>
                <w:rFonts w:ascii="Times New Roman" w:hAnsi="Times New Roman"/>
                <w:sz w:val="14"/>
              </w:rPr>
              <w:t>Able/capable men.</w:t>
            </w:r>
          </w:p>
        </w:tc>
      </w:tr>
      <w:tr>
        <w:tc>
          <w:tcPr>
            <w:tcW w:type="dxa" w:w="3552"/>
            <w:vAlign w:val="top"/>
          </w:tcPr>
          <w:p>
            <w:pPr>
              <w:spacing w:after="0"/>
            </w:pPr>
            <w:r>
              <w:rPr>
                <w:rFonts w:ascii="Times New Roman" w:hAnsi="Times New Roman"/>
                <w:sz w:val="14"/>
              </w:rPr>
              <w:t>Ex. 18:21</w:t>
            </w:r>
          </w:p>
        </w:tc>
        <w:tc>
          <w:tcPr>
            <w:tcW w:type="dxa" w:w="3552"/>
            <w:vAlign w:val="top"/>
          </w:tcPr>
          <w:p>
            <w:pPr>
              <w:spacing w:after="0"/>
            </w:pPr>
            <w:r>
              <w:rPr>
                <w:rFonts w:ascii="Times New Roman" w:hAnsi="Times New Roman"/>
                <w:sz w:val="14"/>
              </w:rPr>
              <w:t>anshei emeth</w:t>
            </w:r>
          </w:p>
        </w:tc>
        <w:tc>
          <w:tcPr>
            <w:tcW w:type="dxa" w:w="3552"/>
            <w:vAlign w:val="top"/>
          </w:tcPr>
          <w:p>
            <w:pPr>
              <w:spacing w:after="0"/>
            </w:pPr>
            <w:r>
              <w:rPr>
                <w:rFonts w:ascii="Times New Roman" w:hAnsi="Times New Roman"/>
                <w:sz w:val="14"/>
              </w:rPr>
              <w:t>Men of truth.</w:t>
            </w:r>
          </w:p>
        </w:tc>
      </w:tr>
      <w:tr>
        <w:tc>
          <w:tcPr>
            <w:tcW w:type="dxa" w:w="3552"/>
            <w:vAlign w:val="top"/>
          </w:tcPr>
          <w:p>
            <w:pPr>
              <w:spacing w:after="0"/>
            </w:pPr>
            <w:r>
              <w:rPr>
                <w:rFonts w:ascii="Times New Roman" w:hAnsi="Times New Roman"/>
                <w:sz w:val="14"/>
              </w:rPr>
              <w:t>Ex. 18:21</w:t>
            </w:r>
          </w:p>
        </w:tc>
        <w:tc>
          <w:tcPr>
            <w:tcW w:type="dxa" w:w="3552"/>
            <w:vAlign w:val="top"/>
          </w:tcPr>
          <w:p>
            <w:pPr>
              <w:spacing w:after="0"/>
            </w:pPr>
            <w:r>
              <w:rPr>
                <w:rFonts w:ascii="Times New Roman" w:hAnsi="Times New Roman"/>
                <w:sz w:val="14"/>
              </w:rPr>
              <w:t>son’ei batza</w:t>
            </w:r>
          </w:p>
        </w:tc>
        <w:tc>
          <w:tcPr>
            <w:tcW w:type="dxa" w:w="3552"/>
            <w:vAlign w:val="top"/>
          </w:tcPr>
          <w:p>
            <w:pPr>
              <w:spacing w:after="0"/>
            </w:pPr>
            <w:r>
              <w:rPr>
                <w:rFonts w:ascii="Times New Roman" w:hAnsi="Times New Roman"/>
                <w:sz w:val="14"/>
              </w:rPr>
              <w:t>Hating dishonest gain/covetous profit.</w:t>
            </w:r>
          </w:p>
        </w:tc>
      </w:tr>
      <w:tr>
        <w:tc>
          <w:tcPr>
            <w:tcW w:type="dxa" w:w="3552"/>
            <w:vAlign w:val="top"/>
          </w:tcPr>
          <w:p>
            <w:pPr>
              <w:spacing w:after="0"/>
            </w:pPr>
            <w:r>
              <w:rPr>
                <w:rFonts w:ascii="Times New Roman" w:hAnsi="Times New Roman"/>
                <w:sz w:val="14"/>
              </w:rPr>
              <w:t>Ex. 18:23</w:t>
            </w:r>
          </w:p>
        </w:tc>
        <w:tc>
          <w:tcPr>
            <w:tcW w:type="dxa" w:w="3552"/>
            <w:vAlign w:val="top"/>
          </w:tcPr>
          <w:p>
            <w:pPr>
              <w:spacing w:after="0"/>
            </w:pPr>
            <w:r>
              <w:rPr>
                <w:rFonts w:ascii="Times New Roman" w:hAnsi="Times New Roman"/>
                <w:sz w:val="14"/>
              </w:rPr>
              <w:t>“and God command thee so”</w:t>
            </w:r>
          </w:p>
        </w:tc>
        <w:tc>
          <w:tcPr>
            <w:tcW w:type="dxa" w:w="3552"/>
            <w:vAlign w:val="top"/>
          </w:tcPr>
          <w:p>
            <w:pPr>
              <w:spacing w:after="0"/>
            </w:pPr>
            <w:r>
              <w:rPr>
                <w:rFonts w:ascii="Times New Roman" w:hAnsi="Times New Roman"/>
                <w:sz w:val="14"/>
              </w:rPr>
              <w:t>Practical counsel explicitly conditioned on Divine approval.</w:t>
            </w:r>
          </w:p>
        </w:tc>
      </w:tr>
      <w:tr>
        <w:tc>
          <w:tcPr>
            <w:tcW w:type="dxa" w:w="3552"/>
            <w:vAlign w:val="top"/>
          </w:tcPr>
          <w:p>
            <w:pPr>
              <w:spacing w:after="0"/>
            </w:pPr>
            <w:r>
              <w:rPr>
                <w:rFonts w:ascii="Times New Roman" w:hAnsi="Times New Roman"/>
                <w:sz w:val="14"/>
              </w:rPr>
              <w:t>Ex. 18:24</w:t>
            </w:r>
          </w:p>
        </w:tc>
        <w:tc>
          <w:tcPr>
            <w:tcW w:type="dxa" w:w="3552"/>
            <w:vAlign w:val="top"/>
          </w:tcPr>
          <w:p>
            <w:pPr>
              <w:spacing w:after="0"/>
            </w:pPr>
            <w:r>
              <w:rPr>
                <w:rFonts w:ascii="Times New Roman" w:hAnsi="Times New Roman"/>
                <w:sz w:val="14"/>
              </w:rPr>
              <w:t>Moses hearkens</w:t>
            </w:r>
          </w:p>
        </w:tc>
        <w:tc>
          <w:tcPr>
            <w:tcW w:type="dxa" w:w="3552"/>
            <w:vAlign w:val="top"/>
          </w:tcPr>
          <w:p>
            <w:pPr>
              <w:spacing w:after="0"/>
            </w:pPr>
            <w:r>
              <w:rPr>
                <w:rFonts w:ascii="Times New Roman" w:hAnsi="Times New Roman"/>
                <w:sz w:val="14"/>
              </w:rPr>
              <w:t>Receiving counsel is presented as wise humility.</w:t>
            </w:r>
          </w:p>
        </w:tc>
      </w:tr>
    </w:tbl>
    <w:p>
      <w:pPr>
        <w:pStyle w:val="Heading1"/>
      </w:pPr>
      <w:r>
        <w:t>RESIDUAL UNCERTAINTIES</w:t>
      </w:r>
    </w:p>
    <w:p>
      <w:pPr/>
      <w:r>
        <w:rPr>
          <w:i w:val="0"/>
        </w:rPr>
        <w:t>The exact chronology of Jethro’s visit and the precise relationship among Jethro, Reuel and Hobab remain debated. The text does not state exactly when Zipporah was sent back. Mansfield’s conclusion that Exodus 18 must belong after the full Sinai law has been given is possible but not demonstrated solely by verses 16 and 20.</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