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19</w:t>
      </w:r>
    </w:p>
    <w:p>
      <w:pPr>
        <w:pStyle w:val="Subtitle"/>
      </w:pPr>
      <w:r>
        <w:t>AT SINAI • EAGLES’ WINGS • PECULIAR TREASURE • KINGDOM OF PRIESTS • COVENANT PLEDGE • SANCTIFICATION • THE MOUNTAIN TREMBLES</w:t>
      </w:r>
    </w:p>
    <w:p>
      <w:pPr/>
      <w:r>
        <w:rPr>
          <w:i/>
        </w:rPr>
        <w:t>H. P. Mansfield Bible notes — checked and arranged in verse-by-verse Expositor style</w:t>
      </w:r>
    </w:p>
    <w:p>
      <w:pPr/>
      <w:r>
        <w:rPr>
          <w:i w:val="0"/>
        </w:rPr>
        <w:t>Source: HPB 02-Gen42-Lev11.pdf, principally Exodus 19 photographed pages 46–48</w:t>
      </w:r>
    </w:p>
    <w:p>
      <w:pPr>
        <w:pStyle w:val="Heading1"/>
      </w:pPr>
      <w:r>
        <w:t>CHAPTER OVERVIEW</w:t>
      </w:r>
    </w:p>
    <w:p>
      <w:pPr/>
      <w:r>
        <w:rPr>
          <w:i w:val="0"/>
        </w:rPr>
        <w:t>Israel has been redeemed from Egypt and educated in dependence; now the nation is brought to Sinai to enter covenant relationship with Yahweh. The movement is deliberately relational: Yahweh did not merely bring Israel out from Pharaoh; He says that He “brought you unto myself.”</w:t>
      </w:r>
    </w:p>
    <w:p>
      <w:pPr/>
      <w:r>
        <w:rPr>
          <w:i w:val="0"/>
        </w:rPr>
        <w:t>Covenant privilege is matched by covenant responsibility. Israel is offered the vocation of Yahweh’s treasured possession, kingdom of priests and holy nation, answers “All that Yahweh hath spoken we will do,” and is then taught that nearness to the Holy One is governed by preparation, boundaries and reverence.</w:t>
      </w:r>
    </w:p>
    <w:p>
      <w:pPr>
        <w:pStyle w:val="Heading1"/>
      </w:pPr>
      <w:r>
        <w:t>ISRAEL ARRIVES AT SINAI — EXODUS 19:1–2</w:t>
      </w:r>
    </w:p>
    <w:p>
      <w:pPr>
        <w:pStyle w:val="Heading2"/>
      </w:pPr>
      <w:r>
        <w:t>Exodus 19:1–2 — encamped before the mount</w:t>
      </w:r>
    </w:p>
    <w:p>
      <w:pPr/>
      <w:r>
        <w:rPr>
          <w:i w:val="0"/>
        </w:rPr>
        <w:t>In the third month after the Exodus, Israel reaches the wilderness of Sinai and camps before the mountain. The phrase “the same day” in the KJV represents Hebrew bayyom hazzeh, literally “on this day”; the exact calendar date within the month is not supplied as plainly as an English reader might assume.</w:t>
      </w:r>
    </w:p>
    <w:p>
      <w:pPr/>
      <w:r>
        <w:rPr>
          <w:i w:val="0"/>
        </w:rPr>
        <w:t>The exact identification of Mount Sinai remains debated. Traditional Jebel Musa/Safsafah and other proposals can be discussed geographically, but the chapter itself does not provide enough data to make a modern identification certain. Mansfield’s Wadi er-Raha/Safsafah reconstruction is therefore retained only as a proposal.</w:t>
      </w:r>
    </w:p>
    <w:p>
      <w:pPr>
        <w:pStyle w:val="Heading1"/>
      </w:pPr>
      <w:r>
        <w:t>YAHWEH’S COVENANT PROPOSAL — EXODUS 19:3–6</w:t>
      </w:r>
    </w:p>
    <w:p>
      <w:pPr>
        <w:pStyle w:val="Heading2"/>
      </w:pPr>
      <w:r>
        <w:t>Exodus 19:3–4 — “bare you on eagles’ wings”</w:t>
      </w:r>
    </w:p>
    <w:p>
      <w:pPr/>
      <w:r>
        <w:rPr>
          <w:i w:val="0"/>
        </w:rPr>
        <w:t>Moses ascends to God, and Yahweh reminds Israel of what they personally witnessed in Egypt: “I bare you on eagles’ wings, and brought you unto myself.” The eagle image expresses powerful, protective carriage. Deuteronomy 32:11–12 later develops related imagery of the eagle stirring its nest and bearing the young.</w:t>
      </w:r>
    </w:p>
    <w:p>
      <w:pPr/>
      <w:r>
        <w:rPr>
          <w:i w:val="0"/>
        </w:rPr>
        <w:t>The goal is not merely geographic escape but covenant nearness. Redemption is movement from slavery to belonging to Yahweh.</w:t>
      </w:r>
    </w:p>
    <w:p>
      <w:pPr>
        <w:pStyle w:val="Heading2"/>
      </w:pPr>
      <w:r>
        <w:t>Exodus 19:5 — “a peculiar treasure unto me”</w:t>
      </w:r>
    </w:p>
    <w:p>
      <w:pPr/>
      <w:r>
        <w:rPr>
          <w:i w:val="0"/>
        </w:rPr>
        <w:t>The proposal is conditional in its covenant response: “If ye will obey my voice indeed, and keep my covenant.” The Hebrew segullah means a valued possession, special treasure or personal property. The KJV “peculiar” uses its older sense of specially belonging to someone, not strange or eccentric.</w:t>
      </w:r>
    </w:p>
    <w:p>
      <w:pPr/>
      <w:r>
        <w:rPr>
          <w:i w:val="0"/>
        </w:rPr>
        <w:t>“For all the earth is mine” prevents any tribal-god misunderstanding. Israel’s election is a special vocation within Yahweh’s universal ownership. The same noun segullah is used for treasured people in Deuteronomy 7:6; 14:2; 26:18 and conceptually echoed in Malachi 3:17.</w:t>
      </w:r>
    </w:p>
    <w:p>
      <w:pPr>
        <w:pStyle w:val="Heading2"/>
      </w:pPr>
      <w:r>
        <w:t>Exodus 19:6 — kingdom of priests; holy nation</w:t>
      </w:r>
    </w:p>
    <w:p>
      <w:pPr/>
      <w:r>
        <w:rPr>
          <w:i w:val="0"/>
        </w:rPr>
        <w:t>Israel is to be “a kingdom of priests, and an holy nation.” Mamlekheth kohanim can mean a kingdom constituted as priests or a royal priesthood. The national vocation is mediatorial: a people belonging to Yahweh and displaying His holiness among the nations.</w:t>
      </w:r>
    </w:p>
    <w:p>
      <w:pPr/>
      <w:r>
        <w:rPr>
          <w:i w:val="0"/>
        </w:rPr>
        <w:t>First Peter 2:5,9 deliberately applies this Exodus language to the ecclesia: “a royal priesthood” and “an holy nation.” Revelation 1:6 and 5:10 likewise use kingdom/priest language. The New Testament therefore confirms the continuing theological importance of the Sinai vocation without erasing its original address to Israel.</w:t>
      </w:r>
    </w:p>
    <w:p>
      <w:pPr>
        <w:pStyle w:val="Heading1"/>
      </w:pPr>
      <w:r>
        <w:t>THE PEOPLE ACCEPT — EXODUS 19:7–9</w:t>
      </w:r>
    </w:p>
    <w:p>
      <w:pPr>
        <w:pStyle w:val="Heading2"/>
      </w:pPr>
      <w:r>
        <w:t>Exodus 19:7–8 — “All that Yahweh hath spoken we will do”</w:t>
      </w:r>
    </w:p>
    <w:p>
      <w:pPr/>
      <w:r>
        <w:rPr>
          <w:i w:val="0"/>
        </w:rPr>
        <w:t>Moses sets the words before the elders, and all the people answer together: “All that Yahweh hath spoken we will do.” The pledge is voluntary and solemn. Later failure does not make the promise meaningless; it exposes the gap between covenant profession and sustained obedience.</w:t>
      </w:r>
    </w:p>
    <w:p>
      <w:pPr>
        <w:pStyle w:val="Heading2"/>
      </w:pPr>
      <w:r>
        <w:t>Exodus 19:9 — the thick cloud authenticates Moses</w:t>
      </w:r>
    </w:p>
    <w:p>
      <w:pPr/>
      <w:r>
        <w:rPr>
          <w:i w:val="0"/>
        </w:rPr>
        <w:t>Yahweh will come to Moses in a thick cloud so that the people may hear Him speaking with Moses and “believe thee for ever.” The public manifestation authenticates Moses as the appointed mediator. Israel is not asked to accept a private claim unsupported by public Divine testimony.</w:t>
      </w:r>
    </w:p>
    <w:p>
      <w:pPr>
        <w:pStyle w:val="Heading1"/>
      </w:pPr>
      <w:r>
        <w:t>SANCTIFICATION AND BOUNDARIES — EXODUS 19:10–15</w:t>
      </w:r>
    </w:p>
    <w:p>
      <w:pPr>
        <w:pStyle w:val="Heading2"/>
      </w:pPr>
      <w:r>
        <w:t>Exodus 19:10–11 — sanctify and wash</w:t>
      </w:r>
    </w:p>
    <w:p>
      <w:pPr/>
      <w:r>
        <w:rPr>
          <w:i w:val="0"/>
        </w:rPr>
        <w:t>Moses is to sanctify the people over two days; they wash their garments and prepare for the third day. Qadash means set apart/consecrate as holy. Washing is an outward element of preparation, not the total meaning of holiness.</w:t>
      </w:r>
    </w:p>
    <w:p>
      <w:pPr>
        <w:pStyle w:val="Heading2"/>
      </w:pPr>
      <w:r>
        <w:t>Exodus 19:12–13 — holiness establishes limits</w:t>
      </w:r>
    </w:p>
    <w:p>
      <w:pPr/>
      <w:r>
        <w:rPr>
          <w:i w:val="0"/>
        </w:rPr>
        <w:t>Bounds are set around the mountain. The people must not go up or even touch its boundary presumptuously. Anyone violating the prohibition is subject to death, and the offender is not to be touched directly; the sentence is executed from a distance.</w:t>
      </w:r>
    </w:p>
    <w:p>
      <w:pPr/>
      <w:r>
        <w:rPr>
          <w:i w:val="0"/>
        </w:rPr>
        <w:t>At the prolonged blast of the yovel — ram’s horn/jubilee horn — “they shall come up to the mount.” In context this cannot mean the whole congregation is licensed to climb Sinai, because verses 21–24 repeat the prohibition against breaking through. The sense is that they may approach the designated base/boundary when summoned, as verse 17 describes.</w:t>
      </w:r>
    </w:p>
    <w:p>
      <w:pPr>
        <w:pStyle w:val="Heading2"/>
      </w:pPr>
      <w:r>
        <w:t>Exodus 19:14–15 — practical abstinence</w:t>
      </w:r>
    </w:p>
    <w:p>
      <w:pPr/>
      <w:r>
        <w:rPr>
          <w:i w:val="0"/>
        </w:rPr>
        <w:t>The people wash their clothes and are told to abstain temporarily from sexual relations while preparing for the third day. The command does not portray marriage as morally unclean; it imposes focused ceremonial preparation for this exceptional manifestation of Yahweh.</w:t>
      </w:r>
    </w:p>
    <w:p>
      <w:pPr>
        <w:pStyle w:val="Heading1"/>
      </w:pPr>
      <w:r>
        <w:t>SINAI IN FIRE, SMOKE AND EARTHQUAKE — EXODUS 19:16–20</w:t>
      </w:r>
    </w:p>
    <w:p>
      <w:pPr>
        <w:pStyle w:val="Heading2"/>
      </w:pPr>
      <w:r>
        <w:t>Exodus 19:16 — thunder, lightning, cloud and trumpet</w:t>
      </w:r>
    </w:p>
    <w:p>
      <w:pPr/>
      <w:r>
        <w:rPr>
          <w:i w:val="0"/>
        </w:rPr>
        <w:t>On the third morning there are thunderings, lightnings, a thick cloud and an exceedingly strong trumpet sound. The Hebrew qoloth literally means voices/sounds and in this context denotes thunder. The entire camp trembles. Covenant grace does not remove reverence before Divine holiness.</w:t>
      </w:r>
    </w:p>
    <w:p>
      <w:pPr>
        <w:pStyle w:val="Heading2"/>
      </w:pPr>
      <w:r>
        <w:t>Exodus 19:17–18 — “to meet with God”</w:t>
      </w:r>
    </w:p>
    <w:p>
      <w:pPr/>
      <w:r>
        <w:rPr>
          <w:i w:val="0"/>
        </w:rPr>
        <w:t>Moses brings the people from the camp to meet God at the foot of the mountain. Sinai is enveloped in smoke because Yahweh descends in fire, the smoke rises like a furnace, and the mountain quakes violently. Hebrews 12:18–21 later recalls these features when contrasting Sinai with the approach associated with the new covenant.</w:t>
      </w:r>
    </w:p>
    <w:p>
      <w:pPr>
        <w:pStyle w:val="Heading2"/>
      </w:pPr>
      <w:r>
        <w:t>Exodus 19:19–20 — Moses speaks; God answers</w:t>
      </w:r>
    </w:p>
    <w:p>
      <w:pPr/>
      <w:r>
        <w:rPr>
          <w:i w:val="0"/>
        </w:rPr>
        <w:t>The trumpet grows louder and louder; Moses speaks and God answers him “by a voice.” Yahweh descends upon the summit and calls Moses up. The repeated ascent and descent of Moses across the Sinai chapters visibly expresses mediation between the Holy God and the people below.</w:t>
      </w:r>
    </w:p>
    <w:p>
      <w:pPr>
        <w:pStyle w:val="Heading1"/>
      </w:pPr>
      <w:r>
        <w:t>THE WARNING REPEATED — EXODUS 19:21–25</w:t>
      </w:r>
    </w:p>
    <w:p>
      <w:pPr>
        <w:pStyle w:val="Heading2"/>
      </w:pPr>
      <w:r>
        <w:t>Exodus 19:21–24 — do not break through to gaze</w:t>
      </w:r>
    </w:p>
    <w:p>
      <w:pPr/>
      <w:r>
        <w:rPr>
          <w:i w:val="0"/>
        </w:rPr>
        <w:t>Yahweh sends Moses down again to warn the people not to break through in order to gaze, lest many perish. Moses points out that boundaries already exist, but Yahweh insists on the repeated warning. Holiness is not protected by assuming that one warning is enough when curiosity and presumption remain possible.</w:t>
      </w:r>
    </w:p>
    <w:p>
      <w:pPr/>
      <w:r>
        <w:rPr>
          <w:i w:val="0"/>
        </w:rPr>
        <w:t>The “priests” who are told to sanctify themselves appear before the formal consecration of Aaron and his sons in Exodus 28–29. Their exact identity is not stated. They may represent existing household/firstborn or provisional cultic functionaries, but this should not be asserted as certain.</w:t>
      </w:r>
    </w:p>
    <w:p>
      <w:pPr>
        <w:pStyle w:val="Heading2"/>
      </w:pPr>
      <w:r>
        <w:t>Exodus 19:24–25 — Aaron may ascend; people remain bounded</w:t>
      </w:r>
    </w:p>
    <w:p>
      <w:pPr/>
      <w:r>
        <w:rPr>
          <w:i w:val="0"/>
        </w:rPr>
        <w:t>Aaron is permitted to come up with Moses, while priests and people remain prohibited from breaking through. Moses descends and speaks to the people. The chapter closes with ordered access: privilege is real, but access is determined by Yahweh, not seized by human presumption.</w:t>
      </w:r>
    </w:p>
    <w:p>
      <w:pPr>
        <w:pStyle w:val="Heading1"/>
      </w:pPr>
      <w:r>
        <w:t>COVENANT ANALYSIS</w:t>
      </w:r>
    </w:p>
    <w:p>
      <w:pPr/>
      <w:r>
        <w:rPr>
          <w:i w:val="0"/>
        </w:rPr>
        <w:t>Mansfield’s fourfold structure is sound: Yahweh proclaims the covenant vocation; Israel accepts; the people are sanctified; and the overwhelming manifestation teaches the seriousness of the relationship. Grace, obedience, priestly purpose and reverence are held together.</w:t>
      </w:r>
    </w:p>
    <w:p>
      <w:pPr>
        <w:pStyle w:val="Heading1"/>
      </w:pPr>
      <w:r>
        <w:t>PRINCIPAL THEMES</w:t>
      </w:r>
    </w:p>
    <w:p>
      <w:pPr>
        <w:ind w:left="259" w:hanging="202"/>
      </w:pPr>
      <w:r>
        <w:rPr>
          <w:b/>
        </w:rPr>
        <w:t xml:space="preserve">• </w:t>
      </w:r>
      <w:r>
        <w:t>Redemption brings Israel to Yahweh Himself, not merely away from Egypt.</w:t>
      </w:r>
    </w:p>
    <w:p>
      <w:pPr>
        <w:ind w:left="259" w:hanging="202"/>
      </w:pPr>
      <w:r>
        <w:rPr>
          <w:b/>
        </w:rPr>
        <w:t xml:space="preserve">• </w:t>
      </w:r>
      <w:r>
        <w:t>Israel is Yahweh’s treasured possession within a world that already belongs to Him.</w:t>
      </w:r>
    </w:p>
    <w:p>
      <w:pPr>
        <w:ind w:left="259" w:hanging="202"/>
      </w:pPr>
      <w:r>
        <w:rPr>
          <w:b/>
        </w:rPr>
        <w:t xml:space="preserve">• </w:t>
      </w:r>
      <w:r>
        <w:t>Covenant privilege is joined to obedient hearing and holiness.</w:t>
      </w:r>
    </w:p>
    <w:p>
      <w:pPr>
        <w:ind w:left="259" w:hanging="202"/>
      </w:pPr>
      <w:r>
        <w:rPr>
          <w:b/>
        </w:rPr>
        <w:t xml:space="preserve">• </w:t>
      </w:r>
      <w:r>
        <w:t>Israel is called to a national priestly vocation.</w:t>
      </w:r>
    </w:p>
    <w:p>
      <w:pPr>
        <w:ind w:left="259" w:hanging="202"/>
      </w:pPr>
      <w:r>
        <w:rPr>
          <w:b/>
        </w:rPr>
        <w:t xml:space="preserve">• </w:t>
      </w:r>
      <w:r>
        <w:t>The people’s covenant pledge is voluntary and serious.</w:t>
      </w:r>
    </w:p>
    <w:p>
      <w:pPr>
        <w:ind w:left="259" w:hanging="202"/>
      </w:pPr>
      <w:r>
        <w:rPr>
          <w:b/>
        </w:rPr>
        <w:t xml:space="preserve">• </w:t>
      </w:r>
      <w:r>
        <w:t>Moses’ mediatorial authority is publicly authenticated.</w:t>
      </w:r>
    </w:p>
    <w:p>
      <w:pPr>
        <w:ind w:left="259" w:hanging="202"/>
      </w:pPr>
      <w:r>
        <w:rPr>
          <w:b/>
        </w:rPr>
        <w:t xml:space="preserve">• </w:t>
      </w:r>
      <w:r>
        <w:t>Holiness requires preparation and divinely established boundaries.</w:t>
      </w:r>
    </w:p>
    <w:p>
      <w:pPr>
        <w:ind w:left="259" w:hanging="202"/>
      </w:pPr>
      <w:r>
        <w:rPr>
          <w:b/>
        </w:rPr>
        <w:t xml:space="preserve">• </w:t>
      </w:r>
      <w:r>
        <w:t>Grace and reverent fear are complementary rather than contradictory.</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4"/>
              </w:rPr>
              <w:t>Ex. 19:1</w:t>
            </w:r>
          </w:p>
        </w:tc>
        <w:tc>
          <w:tcPr>
            <w:tcW w:type="dxa" w:w="3552"/>
            <w:vAlign w:val="top"/>
          </w:tcPr>
          <w:p>
            <w:pPr>
              <w:spacing w:after="0"/>
            </w:pPr>
            <w:r>
              <w:rPr>
                <w:rFonts w:ascii="Times New Roman" w:hAnsi="Times New Roman"/>
                <w:sz w:val="14"/>
              </w:rPr>
              <w:t>bayyom hazzeh</w:t>
            </w:r>
          </w:p>
        </w:tc>
        <w:tc>
          <w:tcPr>
            <w:tcW w:type="dxa" w:w="3552"/>
            <w:vAlign w:val="top"/>
          </w:tcPr>
          <w:p>
            <w:pPr>
              <w:spacing w:after="0"/>
            </w:pPr>
            <w:r>
              <w:rPr>
                <w:rFonts w:ascii="Times New Roman" w:hAnsi="Times New Roman"/>
                <w:sz w:val="14"/>
              </w:rPr>
              <w:t>“On this day”; exact day-of-month is not independently specified.</w:t>
            </w:r>
          </w:p>
        </w:tc>
      </w:tr>
      <w:tr>
        <w:tc>
          <w:tcPr>
            <w:tcW w:type="dxa" w:w="3552"/>
            <w:vAlign w:val="top"/>
          </w:tcPr>
          <w:p>
            <w:pPr>
              <w:spacing w:after="0"/>
            </w:pPr>
            <w:r>
              <w:rPr>
                <w:rFonts w:ascii="Times New Roman" w:hAnsi="Times New Roman"/>
                <w:sz w:val="14"/>
              </w:rPr>
              <w:t>Ex. 19:1–2</w:t>
            </w:r>
          </w:p>
        </w:tc>
        <w:tc>
          <w:tcPr>
            <w:tcW w:type="dxa" w:w="3552"/>
            <w:vAlign w:val="top"/>
          </w:tcPr>
          <w:p>
            <w:pPr>
              <w:spacing w:after="0"/>
            </w:pPr>
            <w:r>
              <w:rPr>
                <w:rFonts w:ascii="Times New Roman" w:hAnsi="Times New Roman"/>
                <w:sz w:val="14"/>
              </w:rPr>
              <w:t>Sinai location</w:t>
            </w:r>
          </w:p>
        </w:tc>
        <w:tc>
          <w:tcPr>
            <w:tcW w:type="dxa" w:w="3552"/>
            <w:vAlign w:val="top"/>
          </w:tcPr>
          <w:p>
            <w:pPr>
              <w:spacing w:after="0"/>
            </w:pPr>
            <w:r>
              <w:rPr>
                <w:rFonts w:ascii="Times New Roman" w:hAnsi="Times New Roman"/>
                <w:sz w:val="14"/>
              </w:rPr>
              <w:t>Traditional and alternative sites remain proposals, not certainty.</w:t>
            </w:r>
          </w:p>
        </w:tc>
      </w:tr>
      <w:tr>
        <w:tc>
          <w:tcPr>
            <w:tcW w:type="dxa" w:w="3552"/>
            <w:vAlign w:val="top"/>
          </w:tcPr>
          <w:p>
            <w:pPr>
              <w:spacing w:after="0"/>
            </w:pPr>
            <w:r>
              <w:rPr>
                <w:rFonts w:ascii="Times New Roman" w:hAnsi="Times New Roman"/>
                <w:sz w:val="14"/>
              </w:rPr>
              <w:t>Ex. 19:4</w:t>
            </w:r>
          </w:p>
        </w:tc>
        <w:tc>
          <w:tcPr>
            <w:tcW w:type="dxa" w:w="3552"/>
            <w:vAlign w:val="top"/>
          </w:tcPr>
          <w:p>
            <w:pPr>
              <w:spacing w:after="0"/>
            </w:pPr>
            <w:r>
              <w:rPr>
                <w:rFonts w:ascii="Times New Roman" w:hAnsi="Times New Roman"/>
                <w:sz w:val="14"/>
              </w:rPr>
              <w:t>eagles’ wings</w:t>
            </w:r>
          </w:p>
        </w:tc>
        <w:tc>
          <w:tcPr>
            <w:tcW w:type="dxa" w:w="3552"/>
            <w:vAlign w:val="top"/>
          </w:tcPr>
          <w:p>
            <w:pPr>
              <w:spacing w:after="0"/>
            </w:pPr>
            <w:r>
              <w:rPr>
                <w:rFonts w:ascii="Times New Roman" w:hAnsi="Times New Roman"/>
                <w:sz w:val="14"/>
              </w:rPr>
              <w:t>Protective/powerful deliverance; compare Deut. 32:11–12.</w:t>
            </w:r>
          </w:p>
        </w:tc>
      </w:tr>
      <w:tr>
        <w:tc>
          <w:tcPr>
            <w:tcW w:type="dxa" w:w="3552"/>
            <w:vAlign w:val="top"/>
          </w:tcPr>
          <w:p>
            <w:pPr>
              <w:spacing w:after="0"/>
            </w:pPr>
            <w:r>
              <w:rPr>
                <w:rFonts w:ascii="Times New Roman" w:hAnsi="Times New Roman"/>
                <w:sz w:val="14"/>
              </w:rPr>
              <w:t>Ex. 19:5</w:t>
            </w:r>
          </w:p>
        </w:tc>
        <w:tc>
          <w:tcPr>
            <w:tcW w:type="dxa" w:w="3552"/>
            <w:vAlign w:val="top"/>
          </w:tcPr>
          <w:p>
            <w:pPr>
              <w:spacing w:after="0"/>
            </w:pPr>
            <w:r>
              <w:rPr>
                <w:rFonts w:ascii="Times New Roman" w:hAnsi="Times New Roman"/>
                <w:sz w:val="14"/>
              </w:rPr>
              <w:t>segullah</w:t>
            </w:r>
          </w:p>
        </w:tc>
        <w:tc>
          <w:tcPr>
            <w:tcW w:type="dxa" w:w="3552"/>
            <w:vAlign w:val="top"/>
          </w:tcPr>
          <w:p>
            <w:pPr>
              <w:spacing w:after="0"/>
            </w:pPr>
            <w:r>
              <w:rPr>
                <w:rFonts w:ascii="Times New Roman" w:hAnsi="Times New Roman"/>
                <w:sz w:val="14"/>
              </w:rPr>
              <w:t>Valued/special treasured possession; older KJV “peculiar.”</w:t>
            </w:r>
          </w:p>
        </w:tc>
      </w:tr>
      <w:tr>
        <w:tc>
          <w:tcPr>
            <w:tcW w:type="dxa" w:w="3552"/>
            <w:vAlign w:val="top"/>
          </w:tcPr>
          <w:p>
            <w:pPr>
              <w:spacing w:after="0"/>
            </w:pPr>
            <w:r>
              <w:rPr>
                <w:rFonts w:ascii="Times New Roman" w:hAnsi="Times New Roman"/>
                <w:sz w:val="14"/>
              </w:rPr>
              <w:t>Ex. 19:5</w:t>
            </w:r>
          </w:p>
        </w:tc>
        <w:tc>
          <w:tcPr>
            <w:tcW w:type="dxa" w:w="3552"/>
            <w:vAlign w:val="top"/>
          </w:tcPr>
          <w:p>
            <w:pPr>
              <w:spacing w:after="0"/>
            </w:pPr>
            <w:r>
              <w:rPr>
                <w:rFonts w:ascii="Times New Roman" w:hAnsi="Times New Roman"/>
                <w:sz w:val="14"/>
              </w:rPr>
              <w:t>all earth is mine</w:t>
            </w:r>
          </w:p>
        </w:tc>
        <w:tc>
          <w:tcPr>
            <w:tcW w:type="dxa" w:w="3552"/>
            <w:vAlign w:val="top"/>
          </w:tcPr>
          <w:p>
            <w:pPr>
              <w:spacing w:after="0"/>
            </w:pPr>
            <w:r>
              <w:rPr>
                <w:rFonts w:ascii="Times New Roman" w:hAnsi="Times New Roman"/>
                <w:sz w:val="14"/>
              </w:rPr>
              <w:t>Election does not imply a merely local or tribal deity.</w:t>
            </w:r>
          </w:p>
        </w:tc>
      </w:tr>
      <w:tr>
        <w:tc>
          <w:tcPr>
            <w:tcW w:type="dxa" w:w="3552"/>
            <w:vAlign w:val="top"/>
          </w:tcPr>
          <w:p>
            <w:pPr>
              <w:spacing w:after="0"/>
            </w:pPr>
            <w:r>
              <w:rPr>
                <w:rFonts w:ascii="Times New Roman" w:hAnsi="Times New Roman"/>
                <w:sz w:val="14"/>
              </w:rPr>
              <w:t>Ex. 19:6</w:t>
            </w:r>
          </w:p>
        </w:tc>
        <w:tc>
          <w:tcPr>
            <w:tcW w:type="dxa" w:w="3552"/>
            <w:vAlign w:val="top"/>
          </w:tcPr>
          <w:p>
            <w:pPr>
              <w:spacing w:after="0"/>
            </w:pPr>
            <w:r>
              <w:rPr>
                <w:rFonts w:ascii="Times New Roman" w:hAnsi="Times New Roman"/>
                <w:sz w:val="14"/>
              </w:rPr>
              <w:t>mamlekheth kohanim</w:t>
            </w:r>
          </w:p>
        </w:tc>
        <w:tc>
          <w:tcPr>
            <w:tcW w:type="dxa" w:w="3552"/>
            <w:vAlign w:val="top"/>
          </w:tcPr>
          <w:p>
            <w:pPr>
              <w:spacing w:after="0"/>
            </w:pPr>
            <w:r>
              <w:rPr>
                <w:rFonts w:ascii="Times New Roman" w:hAnsi="Times New Roman"/>
                <w:sz w:val="14"/>
              </w:rPr>
              <w:t>Kingdom of priests / royal priesthood.</w:t>
            </w:r>
          </w:p>
        </w:tc>
      </w:tr>
      <w:tr>
        <w:tc>
          <w:tcPr>
            <w:tcW w:type="dxa" w:w="3552"/>
            <w:vAlign w:val="top"/>
          </w:tcPr>
          <w:p>
            <w:pPr>
              <w:spacing w:after="0"/>
            </w:pPr>
            <w:r>
              <w:rPr>
                <w:rFonts w:ascii="Times New Roman" w:hAnsi="Times New Roman"/>
                <w:sz w:val="14"/>
              </w:rPr>
              <w:t>1 Pet. 2:5,9</w:t>
            </w:r>
          </w:p>
        </w:tc>
        <w:tc>
          <w:tcPr>
            <w:tcW w:type="dxa" w:w="3552"/>
            <w:vAlign w:val="top"/>
          </w:tcPr>
          <w:p>
            <w:pPr>
              <w:spacing w:after="0"/>
            </w:pPr>
            <w:r>
              <w:rPr>
                <w:rFonts w:ascii="Times New Roman" w:hAnsi="Times New Roman"/>
                <w:sz w:val="14"/>
              </w:rPr>
              <w:t>royal priesthood / holy nation</w:t>
            </w:r>
          </w:p>
        </w:tc>
        <w:tc>
          <w:tcPr>
            <w:tcW w:type="dxa" w:w="3552"/>
            <w:vAlign w:val="top"/>
          </w:tcPr>
          <w:p>
            <w:pPr>
              <w:spacing w:after="0"/>
            </w:pPr>
            <w:r>
              <w:rPr>
                <w:rFonts w:ascii="Times New Roman" w:hAnsi="Times New Roman"/>
                <w:sz w:val="14"/>
              </w:rPr>
              <w:t>Explicit NT reuse of Sinai vocation language.</w:t>
            </w:r>
          </w:p>
        </w:tc>
      </w:tr>
      <w:tr>
        <w:tc>
          <w:tcPr>
            <w:tcW w:type="dxa" w:w="3552"/>
            <w:vAlign w:val="top"/>
          </w:tcPr>
          <w:p>
            <w:pPr>
              <w:spacing w:after="0"/>
            </w:pPr>
            <w:r>
              <w:rPr>
                <w:rFonts w:ascii="Times New Roman" w:hAnsi="Times New Roman"/>
                <w:sz w:val="14"/>
              </w:rPr>
              <w:t>Rev. 1:6; 5:10</w:t>
            </w:r>
          </w:p>
        </w:tc>
        <w:tc>
          <w:tcPr>
            <w:tcW w:type="dxa" w:w="3552"/>
            <w:vAlign w:val="top"/>
          </w:tcPr>
          <w:p>
            <w:pPr>
              <w:spacing w:after="0"/>
            </w:pPr>
            <w:r>
              <w:rPr>
                <w:rFonts w:ascii="Times New Roman" w:hAnsi="Times New Roman"/>
                <w:sz w:val="14"/>
              </w:rPr>
              <w:t>kingdom and priests</w:t>
            </w:r>
          </w:p>
        </w:tc>
        <w:tc>
          <w:tcPr>
            <w:tcW w:type="dxa" w:w="3552"/>
            <w:vAlign w:val="top"/>
          </w:tcPr>
          <w:p>
            <w:pPr>
              <w:spacing w:after="0"/>
            </w:pPr>
            <w:r>
              <w:rPr>
                <w:rFonts w:ascii="Times New Roman" w:hAnsi="Times New Roman"/>
                <w:sz w:val="14"/>
              </w:rPr>
              <w:t>Further NT kingdom-priest application.</w:t>
            </w:r>
          </w:p>
        </w:tc>
      </w:tr>
      <w:tr>
        <w:tc>
          <w:tcPr>
            <w:tcW w:type="dxa" w:w="3552"/>
            <w:vAlign w:val="top"/>
          </w:tcPr>
          <w:p>
            <w:pPr>
              <w:spacing w:after="0"/>
            </w:pPr>
            <w:r>
              <w:rPr>
                <w:rFonts w:ascii="Times New Roman" w:hAnsi="Times New Roman"/>
                <w:sz w:val="14"/>
              </w:rPr>
              <w:t>Ex. 19:8</w:t>
            </w:r>
          </w:p>
        </w:tc>
        <w:tc>
          <w:tcPr>
            <w:tcW w:type="dxa" w:w="3552"/>
            <w:vAlign w:val="top"/>
          </w:tcPr>
          <w:p>
            <w:pPr>
              <w:spacing w:after="0"/>
            </w:pPr>
            <w:r>
              <w:rPr>
                <w:rFonts w:ascii="Times New Roman" w:hAnsi="Times New Roman"/>
                <w:sz w:val="14"/>
              </w:rPr>
              <w:t>covenant pledge</w:t>
            </w:r>
          </w:p>
        </w:tc>
        <w:tc>
          <w:tcPr>
            <w:tcW w:type="dxa" w:w="3552"/>
            <w:vAlign w:val="top"/>
          </w:tcPr>
          <w:p>
            <w:pPr>
              <w:spacing w:after="0"/>
            </w:pPr>
            <w:r>
              <w:rPr>
                <w:rFonts w:ascii="Times New Roman" w:hAnsi="Times New Roman"/>
                <w:sz w:val="14"/>
              </w:rPr>
              <w:t>All the people voluntarily undertake to obey.</w:t>
            </w:r>
          </w:p>
        </w:tc>
      </w:tr>
      <w:tr>
        <w:tc>
          <w:tcPr>
            <w:tcW w:type="dxa" w:w="3552"/>
            <w:vAlign w:val="top"/>
          </w:tcPr>
          <w:p>
            <w:pPr>
              <w:spacing w:after="0"/>
            </w:pPr>
            <w:r>
              <w:rPr>
                <w:rFonts w:ascii="Times New Roman" w:hAnsi="Times New Roman"/>
                <w:sz w:val="14"/>
              </w:rPr>
              <w:t>Ex. 19:10</w:t>
            </w:r>
          </w:p>
        </w:tc>
        <w:tc>
          <w:tcPr>
            <w:tcW w:type="dxa" w:w="3552"/>
            <w:vAlign w:val="top"/>
          </w:tcPr>
          <w:p>
            <w:pPr>
              <w:spacing w:after="0"/>
            </w:pPr>
            <w:r>
              <w:rPr>
                <w:rFonts w:ascii="Times New Roman" w:hAnsi="Times New Roman"/>
                <w:sz w:val="14"/>
              </w:rPr>
              <w:t>qadash</w:t>
            </w:r>
          </w:p>
        </w:tc>
        <w:tc>
          <w:tcPr>
            <w:tcW w:type="dxa" w:w="3552"/>
            <w:vAlign w:val="top"/>
          </w:tcPr>
          <w:p>
            <w:pPr>
              <w:spacing w:after="0"/>
            </w:pPr>
            <w:r>
              <w:rPr>
                <w:rFonts w:ascii="Times New Roman" w:hAnsi="Times New Roman"/>
                <w:sz w:val="14"/>
              </w:rPr>
              <w:t>Sanctify/set apart/consecrate.</w:t>
            </w:r>
          </w:p>
        </w:tc>
      </w:tr>
      <w:tr>
        <w:tc>
          <w:tcPr>
            <w:tcW w:type="dxa" w:w="3552"/>
            <w:vAlign w:val="top"/>
          </w:tcPr>
          <w:p>
            <w:pPr>
              <w:spacing w:after="0"/>
            </w:pPr>
            <w:r>
              <w:rPr>
                <w:rFonts w:ascii="Times New Roman" w:hAnsi="Times New Roman"/>
                <w:sz w:val="14"/>
              </w:rPr>
              <w:t>Ex. 19:13</w:t>
            </w:r>
          </w:p>
        </w:tc>
        <w:tc>
          <w:tcPr>
            <w:tcW w:type="dxa" w:w="3552"/>
            <w:vAlign w:val="top"/>
          </w:tcPr>
          <w:p>
            <w:pPr>
              <w:spacing w:after="0"/>
            </w:pPr>
            <w:r>
              <w:rPr>
                <w:rFonts w:ascii="Times New Roman" w:hAnsi="Times New Roman"/>
                <w:sz w:val="14"/>
              </w:rPr>
              <w:t>yovel</w:t>
            </w:r>
          </w:p>
        </w:tc>
        <w:tc>
          <w:tcPr>
            <w:tcW w:type="dxa" w:w="3552"/>
            <w:vAlign w:val="top"/>
          </w:tcPr>
          <w:p>
            <w:pPr>
              <w:spacing w:after="0"/>
            </w:pPr>
            <w:r>
              <w:rPr>
                <w:rFonts w:ascii="Times New Roman" w:hAnsi="Times New Roman"/>
                <w:sz w:val="14"/>
              </w:rPr>
              <w:t>Ram’s horn/jubilee horn; approach boundary, not unrestricted ascent.</w:t>
            </w:r>
          </w:p>
        </w:tc>
      </w:tr>
      <w:tr>
        <w:tc>
          <w:tcPr>
            <w:tcW w:type="dxa" w:w="3552"/>
            <w:vAlign w:val="top"/>
          </w:tcPr>
          <w:p>
            <w:pPr>
              <w:spacing w:after="0"/>
            </w:pPr>
            <w:r>
              <w:rPr>
                <w:rFonts w:ascii="Times New Roman" w:hAnsi="Times New Roman"/>
                <w:sz w:val="14"/>
              </w:rPr>
              <w:t>Ex. 19:15</w:t>
            </w:r>
          </w:p>
        </w:tc>
        <w:tc>
          <w:tcPr>
            <w:tcW w:type="dxa" w:w="3552"/>
            <w:vAlign w:val="top"/>
          </w:tcPr>
          <w:p>
            <w:pPr>
              <w:spacing w:after="0"/>
            </w:pPr>
            <w:r>
              <w:rPr>
                <w:rFonts w:ascii="Times New Roman" w:hAnsi="Times New Roman"/>
                <w:sz w:val="14"/>
              </w:rPr>
              <w:t>temporary abstinence</w:t>
            </w:r>
          </w:p>
        </w:tc>
        <w:tc>
          <w:tcPr>
            <w:tcW w:type="dxa" w:w="3552"/>
            <w:vAlign w:val="top"/>
          </w:tcPr>
          <w:p>
            <w:pPr>
              <w:spacing w:after="0"/>
            </w:pPr>
            <w:r>
              <w:rPr>
                <w:rFonts w:ascii="Times New Roman" w:hAnsi="Times New Roman"/>
                <w:sz w:val="14"/>
              </w:rPr>
              <w:t>Ceremonial preparation; not condemnation of marriage.</w:t>
            </w:r>
          </w:p>
        </w:tc>
      </w:tr>
      <w:tr>
        <w:tc>
          <w:tcPr>
            <w:tcW w:type="dxa" w:w="3552"/>
            <w:vAlign w:val="top"/>
          </w:tcPr>
          <w:p>
            <w:pPr>
              <w:spacing w:after="0"/>
            </w:pPr>
            <w:r>
              <w:rPr>
                <w:rFonts w:ascii="Times New Roman" w:hAnsi="Times New Roman"/>
                <w:sz w:val="14"/>
              </w:rPr>
              <w:t>Ex. 19:16</w:t>
            </w:r>
          </w:p>
        </w:tc>
        <w:tc>
          <w:tcPr>
            <w:tcW w:type="dxa" w:w="3552"/>
            <w:vAlign w:val="top"/>
          </w:tcPr>
          <w:p>
            <w:pPr>
              <w:spacing w:after="0"/>
            </w:pPr>
            <w:r>
              <w:rPr>
                <w:rFonts w:ascii="Times New Roman" w:hAnsi="Times New Roman"/>
                <w:sz w:val="14"/>
              </w:rPr>
              <w:t>qoloth</w:t>
            </w:r>
          </w:p>
        </w:tc>
        <w:tc>
          <w:tcPr>
            <w:tcW w:type="dxa" w:w="3552"/>
            <w:vAlign w:val="top"/>
          </w:tcPr>
          <w:p>
            <w:pPr>
              <w:spacing w:after="0"/>
            </w:pPr>
            <w:r>
              <w:rPr>
                <w:rFonts w:ascii="Times New Roman" w:hAnsi="Times New Roman"/>
                <w:sz w:val="14"/>
              </w:rPr>
              <w:t>Voices/sounds; contextually thunderings.</w:t>
            </w:r>
          </w:p>
        </w:tc>
      </w:tr>
      <w:tr>
        <w:tc>
          <w:tcPr>
            <w:tcW w:type="dxa" w:w="3552"/>
            <w:vAlign w:val="top"/>
          </w:tcPr>
          <w:p>
            <w:pPr>
              <w:spacing w:after="0"/>
            </w:pPr>
            <w:r>
              <w:rPr>
                <w:rFonts w:ascii="Times New Roman" w:hAnsi="Times New Roman"/>
                <w:sz w:val="14"/>
              </w:rPr>
              <w:t>Heb. 12:18–21</w:t>
            </w:r>
          </w:p>
        </w:tc>
        <w:tc>
          <w:tcPr>
            <w:tcW w:type="dxa" w:w="3552"/>
            <w:vAlign w:val="top"/>
          </w:tcPr>
          <w:p>
            <w:pPr>
              <w:spacing w:after="0"/>
            </w:pPr>
            <w:r>
              <w:rPr>
                <w:rFonts w:ascii="Times New Roman" w:hAnsi="Times New Roman"/>
                <w:sz w:val="14"/>
              </w:rPr>
              <w:t>Sinai terror recalled</w:t>
            </w:r>
          </w:p>
        </w:tc>
        <w:tc>
          <w:tcPr>
            <w:tcW w:type="dxa" w:w="3552"/>
            <w:vAlign w:val="top"/>
          </w:tcPr>
          <w:p>
            <w:pPr>
              <w:spacing w:after="0"/>
            </w:pPr>
            <w:r>
              <w:rPr>
                <w:rFonts w:ascii="Times New Roman" w:hAnsi="Times New Roman"/>
                <w:sz w:val="14"/>
              </w:rPr>
              <w:t>Later inspired description confirms fire, darkness, trumpet and fear.</w:t>
            </w:r>
          </w:p>
        </w:tc>
      </w:tr>
      <w:tr>
        <w:tc>
          <w:tcPr>
            <w:tcW w:type="dxa" w:w="3552"/>
            <w:vAlign w:val="top"/>
          </w:tcPr>
          <w:p>
            <w:pPr>
              <w:spacing w:after="0"/>
            </w:pPr>
            <w:r>
              <w:rPr>
                <w:rFonts w:ascii="Times New Roman" w:hAnsi="Times New Roman"/>
                <w:sz w:val="14"/>
              </w:rPr>
              <w:t>Ex. 19:22</w:t>
            </w:r>
          </w:p>
        </w:tc>
        <w:tc>
          <w:tcPr>
            <w:tcW w:type="dxa" w:w="3552"/>
            <w:vAlign w:val="top"/>
          </w:tcPr>
          <w:p>
            <w:pPr>
              <w:spacing w:after="0"/>
            </w:pPr>
            <w:r>
              <w:rPr>
                <w:rFonts w:ascii="Times New Roman" w:hAnsi="Times New Roman"/>
                <w:sz w:val="14"/>
              </w:rPr>
              <w:t>priests before Aaronic consecration</w:t>
            </w:r>
          </w:p>
        </w:tc>
        <w:tc>
          <w:tcPr>
            <w:tcW w:type="dxa" w:w="3552"/>
            <w:vAlign w:val="top"/>
          </w:tcPr>
          <w:p>
            <w:pPr>
              <w:spacing w:after="0"/>
            </w:pPr>
            <w:r>
              <w:rPr>
                <w:rFonts w:ascii="Times New Roman" w:hAnsi="Times New Roman"/>
                <w:sz w:val="14"/>
              </w:rPr>
              <w:t>Exact identity not stated; firstborn/provisional theories remain uncertain.</w:t>
            </w:r>
          </w:p>
        </w:tc>
      </w:tr>
      <w:tr>
        <w:tc>
          <w:tcPr>
            <w:tcW w:type="dxa" w:w="3552"/>
            <w:vAlign w:val="top"/>
          </w:tcPr>
          <w:p>
            <w:pPr>
              <w:spacing w:after="0"/>
            </w:pPr>
            <w:r>
              <w:rPr>
                <w:rFonts w:ascii="Times New Roman" w:hAnsi="Times New Roman"/>
                <w:sz w:val="14"/>
              </w:rPr>
              <w:t>Ex. 19:21–25</w:t>
            </w:r>
          </w:p>
        </w:tc>
        <w:tc>
          <w:tcPr>
            <w:tcW w:type="dxa" w:w="3552"/>
            <w:vAlign w:val="top"/>
          </w:tcPr>
          <w:p>
            <w:pPr>
              <w:spacing w:after="0"/>
            </w:pPr>
            <w:r>
              <w:rPr>
                <w:rFonts w:ascii="Times New Roman" w:hAnsi="Times New Roman"/>
                <w:sz w:val="14"/>
              </w:rPr>
              <w:t>repeated boundary warning</w:t>
            </w:r>
          </w:p>
        </w:tc>
        <w:tc>
          <w:tcPr>
            <w:tcW w:type="dxa" w:w="3552"/>
            <w:vAlign w:val="top"/>
          </w:tcPr>
          <w:p>
            <w:pPr>
              <w:spacing w:after="0"/>
            </w:pPr>
            <w:r>
              <w:rPr>
                <w:rFonts w:ascii="Times New Roman" w:hAnsi="Times New Roman"/>
                <w:sz w:val="14"/>
              </w:rPr>
              <w:t>Access to holiness is determined by Yahweh, not seized.</w:t>
            </w:r>
          </w:p>
        </w:tc>
      </w:tr>
    </w:tbl>
    <w:p>
      <w:pPr>
        <w:pStyle w:val="Heading1"/>
      </w:pPr>
      <w:r>
        <w:t>RESIDUAL UNCERTAINTIES</w:t>
      </w:r>
    </w:p>
    <w:p>
      <w:pPr/>
      <w:r>
        <w:rPr>
          <w:i w:val="0"/>
        </w:rPr>
        <w:t>The modern geographical identification of Sinai is not secure from Exodus 19 alone. The precise identity of the priests mentioned before the Aaronic priesthood is formally consecrated is not stated. Mansfield’s detailed table of Moses’ ascents/descents and some geographical identifications remain useful study proposals rather than facts required by the text.</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19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2"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