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EXODUS 21</w:t>
      </w:r>
    </w:p>
    <w:p>
      <w:pPr>
        <w:pStyle w:val="Subtitle"/>
      </w:pPr>
      <w:r>
        <w:t>THE BOOK OF THE COVENANT • SERVANTS PROTECTED • MURDER AND MANSLAUGHTER • PROPORTIONAL JUSTICE • NEGLIGENCE AND LIABILITY</w:t>
      </w:r>
    </w:p>
    <w:p>
      <w:pPr/>
      <w:r>
        <w:rPr>
          <w:i/>
        </w:rPr>
        <w:t>H. P. Mansfield Bible notes — checked and arranged in verse-by-verse Expositor style</w:t>
      </w:r>
    </w:p>
    <w:p>
      <w:pPr/>
      <w:r>
        <w:rPr>
          <w:i w:val="0"/>
        </w:rPr>
        <w:t>Source: HPB 02-Gen42-Lev11.pdf, principally Exodus 21 photographed pages 49–50</w:t>
      </w:r>
    </w:p>
    <w:p>
      <w:pPr>
        <w:pStyle w:val="Heading1"/>
      </w:pPr>
      <w:r>
        <w:t>CHAPTER OVERVIEW</w:t>
      </w:r>
    </w:p>
    <w:p>
      <w:pPr/>
      <w:r>
        <w:rPr>
          <w:i w:val="0"/>
        </w:rPr>
        <w:t>Exodus 21 begins the applied judgments of the Book of the Covenant. The chapter does not present arbitrary case law; it works out the principles of the Decalogue in servitude, family protection, violence, bodily injury, property hazards and foreseeable negligence.</w:t>
      </w:r>
    </w:p>
    <w:p>
      <w:pPr/>
      <w:r>
        <w:rPr>
          <w:i w:val="0"/>
        </w:rPr>
        <w:t>The legislation belongs to an ancient agrarian society, yet repeatedly restrains power: Hebrew service is time-limited, kidnapping is a capital offence, vulnerable women receive enforceable rights, intention distinguishes murder from accident, and known hazards create heightened responsibility.</w:t>
      </w:r>
    </w:p>
    <w:p>
      <w:pPr>
        <w:pStyle w:val="Heading1"/>
      </w:pPr>
      <w:r>
        <w:t>HEBREW SERVICE AND THE WILLING SERVANT — EXODUS 21:1–6</w:t>
      </w:r>
    </w:p>
    <w:p>
      <w:pPr>
        <w:pStyle w:val="Heading2"/>
      </w:pPr>
      <w:r>
        <w:t>Exodus 21:1–2 — judgments and six-year service</w:t>
      </w:r>
    </w:p>
    <w:p>
      <w:pPr/>
      <w:r>
        <w:rPr>
          <w:i w:val="0"/>
        </w:rPr>
        <w:t>“These are the judgments” translates mishpatim, judicial decisions/ordinances. A Hebrew servant normally serves six years and goes free in the seventh without a redemption payment. Jeremiah 34:8–17 later condemns Judah for violating this release principle.</w:t>
      </w:r>
    </w:p>
    <w:p>
      <w:pPr/>
      <w:r>
        <w:rPr>
          <w:i w:val="0"/>
        </w:rPr>
        <w:t>The institution should not be equated without qualification with modern race-based chattel slavery. Hebrew debt-service was regulated, time-bounded and embedded in a larger law that also made kidnapping a person for sale a capital crime (v.16).</w:t>
      </w:r>
    </w:p>
    <w:p>
      <w:pPr>
        <w:pStyle w:val="Heading2"/>
      </w:pPr>
      <w:r>
        <w:t>Exodus 21:3–4 — family status at release</w:t>
      </w:r>
    </w:p>
    <w:p>
      <w:pPr/>
      <w:r>
        <w:rPr>
          <w:i w:val="0"/>
        </w:rPr>
        <w:t>If the servant entered married, his wife leaves with him. If a wife from the master’s household was given during service, the legal status of wife and children remained attached to that household. The situation creates the voluntary choice in verses 5–6; it is not a general statement that children are mere commodities.</w:t>
      </w:r>
    </w:p>
    <w:p>
      <w:pPr>
        <w:pStyle w:val="Heading2"/>
      </w:pPr>
      <w:r>
        <w:t>Exodus 21:5–6 — service chosen from love</w:t>
      </w:r>
    </w:p>
    <w:p>
      <w:pPr/>
      <w:r>
        <w:rPr>
          <w:i w:val="0"/>
        </w:rPr>
        <w:t>The servant may say plainly, “I love my master, my wife, and my children; I will not go out free.” He is brought before ha’elohim — a phrase capable in this legal context of referring to God/judicial representatives — and his ear is bored at the door or doorpost with an awl as a public sign of continuing service.</w:t>
      </w:r>
    </w:p>
    <w:p>
      <w:pPr/>
      <w:r>
        <w:rPr>
          <w:i w:val="0"/>
        </w:rPr>
        <w:t>Mansfield’s Christological application is powerful as typology: service is embraced from love rather than coercion. Psalm 40:6, however, literally says “ears hast thou dug/opened for me,” while Hebrews 10:5 follows the Greek form “a body hast thou prepared me.” The Psalm is therefore not lexical proof that Exodus 21’s ear-boring rite is directly predicted.</w:t>
      </w:r>
    </w:p>
    <w:p>
      <w:pPr>
        <w:pStyle w:val="Heading1"/>
      </w:pPr>
      <w:r>
        <w:t>PROTECTION OF A FEMALE SERVANT — EXODUS 21:7–11</w:t>
      </w:r>
    </w:p>
    <w:p>
      <w:pPr>
        <w:pStyle w:val="Heading2"/>
      </w:pPr>
      <w:r>
        <w:t>Exodus 21:7–9 — marriage expectations create obligations</w:t>
      </w:r>
    </w:p>
    <w:p>
      <w:pPr/>
      <w:r>
        <w:rPr>
          <w:i w:val="0"/>
        </w:rPr>
        <w:t>The female servant, amah, is treated differently where the arrangement anticipates marriage. If the intended marriage does not proceed, she must be allowed redemption and may not be sold to a foreign people after the purchaser has dealt unfaithfully with her. If designated for the son, she is to be treated “after the manner of daughters.”</w:t>
      </w:r>
    </w:p>
    <w:p>
      <w:pPr>
        <w:pStyle w:val="Heading2"/>
      </w:pPr>
      <w:r>
        <w:t>Exodus 21:10–11 — food, clothing and marital rights</w:t>
      </w:r>
    </w:p>
    <w:p>
      <w:pPr/>
      <w:r>
        <w:rPr>
          <w:i w:val="0"/>
        </w:rPr>
        <w:t>If another wife is taken, the first woman’s food, clothing and ‘onah must not be diminished. ‘Onah is commonly understood as marital/conjugal rights, though the word is rare. Failure to provide these three obligations releases her without payment. The law therefore places enforceable limits on male household power.</w:t>
      </w:r>
    </w:p>
    <w:p>
      <w:pPr>
        <w:pStyle w:val="Heading1"/>
      </w:pPr>
      <w:r>
        <w:t>LIFE, VIOLENCE AND FAMILY ORDER — EXODUS 21:12–17</w:t>
      </w:r>
    </w:p>
    <w:p>
      <w:pPr>
        <w:pStyle w:val="Heading2"/>
      </w:pPr>
      <w:r>
        <w:t>Exodus 21:12–14 — murder distinguished from accidental killing</w:t>
      </w:r>
    </w:p>
    <w:p>
      <w:pPr/>
      <w:r>
        <w:rPr>
          <w:i w:val="0"/>
        </w:rPr>
        <w:t>Intent is decisive. Deliberate killing is punishable by death; where the killer “lay not in wait,” refuge is provided. The later cities-of-refuge legislation develops the distinction more fully (Numbers 35; Deuteronomy 19). A presumptuous murderer cannot turn the altar into immunity from justice.</w:t>
      </w:r>
    </w:p>
    <w:p>
      <w:pPr>
        <w:pStyle w:val="Heading2"/>
      </w:pPr>
      <w:r>
        <w:t>Exodus 21:15–17 — parents and man-stealing</w:t>
      </w:r>
    </w:p>
    <w:p>
      <w:pPr/>
      <w:r>
        <w:rPr>
          <w:i w:val="0"/>
        </w:rPr>
        <w:t>Striking or cursing father or mother is treated with extreme seriousness, applying the command to honour parents to the stability of the covenant household.</w:t>
      </w:r>
    </w:p>
    <w:p>
      <w:pPr/>
      <w:r>
        <w:rPr>
          <w:i w:val="0"/>
        </w:rPr>
        <w:t>Verse 16 is especially important: kidnapping/man-stealing — stealing a person, whether the victim has been sold or is still found in the kidnapper’s possession — is a capital offence. Biblical servitude legislation therefore cannot honestly be used to justify slave-raiding.</w:t>
      </w:r>
    </w:p>
    <w:p>
      <w:pPr>
        <w:pStyle w:val="Heading1"/>
      </w:pPr>
      <w:r>
        <w:t>COMPENSATION AND PROPORTIONAL JUSTICE — EXODUS 21:18–27</w:t>
      </w:r>
    </w:p>
    <w:p>
      <w:pPr>
        <w:pStyle w:val="Heading2"/>
      </w:pPr>
      <w:r>
        <w:t>Exodus 21:18–19 — loss of time and healing</w:t>
      </w:r>
    </w:p>
    <w:p>
      <w:pPr/>
      <w:r>
        <w:rPr>
          <w:i w:val="0"/>
        </w:rPr>
        <w:t>When a quarrel causes non-fatal injury, the assailant must compensate the injured person for loss of time and ensure his healing. The law seeks restoration of the injured party rather than indiscriminate retaliation.</w:t>
      </w:r>
    </w:p>
    <w:p>
      <w:pPr>
        <w:pStyle w:val="Heading2"/>
      </w:pPr>
      <w:r>
        <w:t>Exodus 21:20–21 — violence against a servant</w:t>
      </w:r>
    </w:p>
    <w:p>
      <w:pPr/>
      <w:r>
        <w:rPr>
          <w:i w:val="0"/>
        </w:rPr>
        <w:t>A master whose beating causes a servant’s immediate death is subject to vengeance/judgment. If the servant survives a day or two, the legal classification differs because the master has already suffered economic loss — “he is his money.” This phrase reflects the ancient economic status of servitude; it does not create moral permission for cruelty, as verses 26–27 immediately demonstrate.</w:t>
      </w:r>
    </w:p>
    <w:p>
      <w:pPr>
        <w:pStyle w:val="Heading2"/>
      </w:pPr>
      <w:r>
        <w:t>Exodus 21:22–25 — pregnancy and “eye for eye”</w:t>
      </w:r>
    </w:p>
    <w:p>
      <w:pPr/>
      <w:r>
        <w:rPr>
          <w:i w:val="0"/>
        </w:rPr>
        <w:t>The Hebrew wording concerning a pregnant woman is debated. Yatsa’ yeladeha literally describes her children/offspring coming out, and interpreters differ over whether the case envisages premature live birth or miscarriage. What is clear is that financial penalty applies where no further harm occurs and proportional judgment follows where harm does occur.</w:t>
      </w:r>
    </w:p>
    <w:p>
      <w:pPr/>
      <w:r>
        <w:rPr>
          <w:i w:val="0"/>
        </w:rPr>
        <w:t>“Life for life, eye for eye…” is lex talionis: a judicial limit of proportionality. It prevents escalating vengeance and establishes that penalty/compensation must correspond to injury. Jesus’ teaching in Matthew 5:38–42 does not declare Mosaic courts unjust; it forbids disciples using the civil principle as a warrant for private retaliation.</w:t>
      </w:r>
    </w:p>
    <w:p>
      <w:pPr>
        <w:pStyle w:val="Heading2"/>
      </w:pPr>
      <w:r>
        <w:t>Exodus 21:26–27 — injury frees the servant</w:t>
      </w:r>
    </w:p>
    <w:p>
      <w:pPr/>
      <w:r>
        <w:rPr>
          <w:i w:val="0"/>
        </w:rPr>
        <w:t>Destroying a servant’s eye or knocking out a tooth requires release. The law makes serious bodily abuse economically self-defeating for the master and gives the injured servant a direct remedy.</w:t>
      </w:r>
    </w:p>
    <w:p>
      <w:pPr>
        <w:pStyle w:val="Heading1"/>
      </w:pPr>
      <w:r>
        <w:t>FORESEEABLE HARM AND PROPERTY LIABILITY — EXODUS 21:28–36</w:t>
      </w:r>
    </w:p>
    <w:p>
      <w:pPr>
        <w:pStyle w:val="Heading2"/>
      </w:pPr>
      <w:r>
        <w:t>Exodus 21:28–32 — the goring ox</w:t>
      </w:r>
    </w:p>
    <w:p>
      <w:pPr/>
      <w:r>
        <w:rPr>
          <w:i w:val="0"/>
        </w:rPr>
        <w:t>An ox that kills a human is stoned. If no previous dangerous behaviour was known, the owner is not treated as a murderer. If the ox was known to gore and the owner failed to restrain it, owner liability becomes severe because the death was foreseeably preventable.</w:t>
      </w:r>
    </w:p>
    <w:p>
      <w:pPr/>
      <w:r>
        <w:rPr>
          <w:i w:val="0"/>
        </w:rPr>
        <w:t>A kopher, ransom/redemption payment, can be imposed instead of the owner’s death where the court allows it. The same negligence principle applies whether the human victim is male or female.</w:t>
      </w:r>
    </w:p>
    <w:p>
      <w:pPr>
        <w:pStyle w:val="Heading2"/>
      </w:pPr>
      <w:r>
        <w:t>Exodus 21:33–36 — pits and dangerous animals</w:t>
      </w:r>
    </w:p>
    <w:p>
      <w:pPr/>
      <w:r>
        <w:rPr>
          <w:i w:val="0"/>
        </w:rPr>
        <w:t>One who opens or digs a pit and leaves it uncovered must compensate for livestock that falls in. Likewise, if an ox known to gore kills another animal, the negligent owner must make full replacement. The chapter repeatedly distinguishes unavoidable accident from ignored known risk.</w:t>
      </w:r>
    </w:p>
    <w:p>
      <w:pPr>
        <w:pStyle w:val="Heading1"/>
      </w:pPr>
      <w:r>
        <w:t>PRINCIPAL THEMES</w:t>
      </w:r>
    </w:p>
    <w:p>
      <w:pPr>
        <w:ind w:left="259" w:hanging="202"/>
      </w:pPr>
      <w:r>
        <w:rPr>
          <w:b/>
        </w:rPr>
        <w:t xml:space="preserve">• </w:t>
      </w:r>
      <w:r>
        <w:t>Covenant holiness regulates power in ordinary economic and family relationships.</w:t>
      </w:r>
    </w:p>
    <w:p>
      <w:pPr>
        <w:ind w:left="259" w:hanging="202"/>
      </w:pPr>
      <w:r>
        <w:rPr>
          <w:b/>
        </w:rPr>
        <w:t xml:space="preserve">• </w:t>
      </w:r>
      <w:r>
        <w:t>Hebrew servitude is bounded and regulated; kidnapping people into slavery is itself a capital crime.</w:t>
      </w:r>
    </w:p>
    <w:p>
      <w:pPr>
        <w:ind w:left="259" w:hanging="202"/>
      </w:pPr>
      <w:r>
        <w:rPr>
          <w:b/>
        </w:rPr>
        <w:t xml:space="preserve">• </w:t>
      </w:r>
      <w:r>
        <w:t>Love can transform service from compulsion into willing devotion.</w:t>
      </w:r>
    </w:p>
    <w:p>
      <w:pPr>
        <w:ind w:left="259" w:hanging="202"/>
      </w:pPr>
      <w:r>
        <w:rPr>
          <w:b/>
        </w:rPr>
        <w:t xml:space="preserve">• </w:t>
      </w:r>
      <w:r>
        <w:t>Intent distinguishes murder from accidental killing.</w:t>
      </w:r>
    </w:p>
    <w:p>
      <w:pPr>
        <w:ind w:left="259" w:hanging="202"/>
      </w:pPr>
      <w:r>
        <w:rPr>
          <w:b/>
        </w:rPr>
        <w:t xml:space="preserve">• </w:t>
      </w:r>
      <w:r>
        <w:t>Judicial proportionality restrains escalating vengeance.</w:t>
      </w:r>
    </w:p>
    <w:p>
      <w:pPr>
        <w:ind w:left="259" w:hanging="202"/>
      </w:pPr>
      <w:r>
        <w:rPr>
          <w:b/>
        </w:rPr>
        <w:t xml:space="preserve">• </w:t>
      </w:r>
      <w:r>
        <w:t>Servants and vulnerable women are given enforceable protections.</w:t>
      </w:r>
    </w:p>
    <w:p>
      <w:pPr>
        <w:ind w:left="259" w:hanging="202"/>
      </w:pPr>
      <w:r>
        <w:rPr>
          <w:b/>
        </w:rPr>
        <w:t xml:space="preserve">• </w:t>
      </w:r>
      <w:r>
        <w:t>Foreseeable danger creates heightened moral and legal responsibility.</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4"/>
              </w:rPr>
              <w:t>Ex. 21:1</w:t>
            </w:r>
          </w:p>
        </w:tc>
        <w:tc>
          <w:tcPr>
            <w:tcW w:type="dxa" w:w="3552"/>
            <w:vAlign w:val="top"/>
          </w:tcPr>
          <w:p>
            <w:pPr>
              <w:spacing w:after="0"/>
            </w:pPr>
            <w:r>
              <w:rPr>
                <w:rFonts w:ascii="Times New Roman" w:hAnsi="Times New Roman"/>
                <w:sz w:val="14"/>
              </w:rPr>
              <w:t>mishpatim</w:t>
            </w:r>
          </w:p>
        </w:tc>
        <w:tc>
          <w:tcPr>
            <w:tcW w:type="dxa" w:w="3552"/>
            <w:vAlign w:val="top"/>
          </w:tcPr>
          <w:p>
            <w:pPr>
              <w:spacing w:after="0"/>
            </w:pPr>
            <w:r>
              <w:rPr>
                <w:rFonts w:ascii="Times New Roman" w:hAnsi="Times New Roman"/>
                <w:sz w:val="14"/>
              </w:rPr>
              <w:t>Judgments/ordinances: applied covenant case law.</w:t>
            </w:r>
          </w:p>
        </w:tc>
      </w:tr>
      <w:tr>
        <w:tc>
          <w:tcPr>
            <w:tcW w:type="dxa" w:w="3552"/>
            <w:vAlign w:val="top"/>
          </w:tcPr>
          <w:p>
            <w:pPr>
              <w:spacing w:after="0"/>
            </w:pPr>
            <w:r>
              <w:rPr>
                <w:rFonts w:ascii="Times New Roman" w:hAnsi="Times New Roman"/>
                <w:sz w:val="14"/>
              </w:rPr>
              <w:t>Ex. 21:2</w:t>
            </w:r>
          </w:p>
        </w:tc>
        <w:tc>
          <w:tcPr>
            <w:tcW w:type="dxa" w:w="3552"/>
            <w:vAlign w:val="top"/>
          </w:tcPr>
          <w:p>
            <w:pPr>
              <w:spacing w:after="0"/>
            </w:pPr>
            <w:r>
              <w:rPr>
                <w:rFonts w:ascii="Times New Roman" w:hAnsi="Times New Roman"/>
                <w:sz w:val="14"/>
              </w:rPr>
              <w:t>six years; seventh free</w:t>
            </w:r>
          </w:p>
        </w:tc>
        <w:tc>
          <w:tcPr>
            <w:tcW w:type="dxa" w:w="3552"/>
            <w:vAlign w:val="top"/>
          </w:tcPr>
          <w:p>
            <w:pPr>
              <w:spacing w:after="0"/>
            </w:pPr>
            <w:r>
              <w:rPr>
                <w:rFonts w:ascii="Times New Roman" w:hAnsi="Times New Roman"/>
                <w:sz w:val="14"/>
              </w:rPr>
              <w:t>Individual term of service; compare Jer. 34:8–17.</w:t>
            </w:r>
          </w:p>
        </w:tc>
      </w:tr>
      <w:tr>
        <w:tc>
          <w:tcPr>
            <w:tcW w:type="dxa" w:w="3552"/>
            <w:vAlign w:val="top"/>
          </w:tcPr>
          <w:p>
            <w:pPr>
              <w:spacing w:after="0"/>
            </w:pPr>
            <w:r>
              <w:rPr>
                <w:rFonts w:ascii="Times New Roman" w:hAnsi="Times New Roman"/>
                <w:sz w:val="14"/>
              </w:rPr>
              <w:t>Ex. 21:6</w:t>
            </w:r>
          </w:p>
        </w:tc>
        <w:tc>
          <w:tcPr>
            <w:tcW w:type="dxa" w:w="3552"/>
            <w:vAlign w:val="top"/>
          </w:tcPr>
          <w:p>
            <w:pPr>
              <w:spacing w:after="0"/>
            </w:pPr>
            <w:r>
              <w:rPr>
                <w:rFonts w:ascii="Times New Roman" w:hAnsi="Times New Roman"/>
                <w:sz w:val="14"/>
              </w:rPr>
              <w:t>ha’elohim</w:t>
            </w:r>
          </w:p>
        </w:tc>
        <w:tc>
          <w:tcPr>
            <w:tcW w:type="dxa" w:w="3552"/>
            <w:vAlign w:val="top"/>
          </w:tcPr>
          <w:p>
            <w:pPr>
              <w:spacing w:after="0"/>
            </w:pPr>
            <w:r>
              <w:rPr>
                <w:rFonts w:ascii="Times New Roman" w:hAnsi="Times New Roman"/>
                <w:sz w:val="14"/>
              </w:rPr>
              <w:t>God/judicial representatives; KJV “judges” is contextual.</w:t>
            </w:r>
          </w:p>
        </w:tc>
      </w:tr>
      <w:tr>
        <w:tc>
          <w:tcPr>
            <w:tcW w:type="dxa" w:w="3552"/>
            <w:vAlign w:val="top"/>
          </w:tcPr>
          <w:p>
            <w:pPr>
              <w:spacing w:after="0"/>
            </w:pPr>
            <w:r>
              <w:rPr>
                <w:rFonts w:ascii="Times New Roman" w:hAnsi="Times New Roman"/>
                <w:sz w:val="14"/>
              </w:rPr>
              <w:t>Ex. 21:6</w:t>
            </w:r>
          </w:p>
        </w:tc>
        <w:tc>
          <w:tcPr>
            <w:tcW w:type="dxa" w:w="3552"/>
            <w:vAlign w:val="top"/>
          </w:tcPr>
          <w:p>
            <w:pPr>
              <w:spacing w:after="0"/>
            </w:pPr>
            <w:r>
              <w:rPr>
                <w:rFonts w:ascii="Times New Roman" w:hAnsi="Times New Roman"/>
                <w:sz w:val="14"/>
              </w:rPr>
              <w:t>ear bored with awl</w:t>
            </w:r>
          </w:p>
        </w:tc>
        <w:tc>
          <w:tcPr>
            <w:tcW w:type="dxa" w:w="3552"/>
            <w:vAlign w:val="top"/>
          </w:tcPr>
          <w:p>
            <w:pPr>
              <w:spacing w:after="0"/>
            </w:pPr>
            <w:r>
              <w:rPr>
                <w:rFonts w:ascii="Times New Roman" w:hAnsi="Times New Roman"/>
                <w:sz w:val="14"/>
              </w:rPr>
              <w:t>Public sign of continuing service.</w:t>
            </w:r>
          </w:p>
        </w:tc>
      </w:tr>
      <w:tr>
        <w:tc>
          <w:tcPr>
            <w:tcW w:type="dxa" w:w="3552"/>
            <w:vAlign w:val="top"/>
          </w:tcPr>
          <w:p>
            <w:pPr>
              <w:spacing w:after="0"/>
            </w:pPr>
            <w:r>
              <w:rPr>
                <w:rFonts w:ascii="Times New Roman" w:hAnsi="Times New Roman"/>
                <w:sz w:val="14"/>
              </w:rPr>
              <w:t>Psa. 40:6; Heb. 10:5</w:t>
            </w:r>
          </w:p>
        </w:tc>
        <w:tc>
          <w:tcPr>
            <w:tcW w:type="dxa" w:w="3552"/>
            <w:vAlign w:val="top"/>
          </w:tcPr>
          <w:p>
            <w:pPr>
              <w:spacing w:after="0"/>
            </w:pPr>
            <w:r>
              <w:rPr>
                <w:rFonts w:ascii="Times New Roman" w:hAnsi="Times New Roman"/>
                <w:sz w:val="14"/>
              </w:rPr>
              <w:t>ears opened / body prepared</w:t>
            </w:r>
          </w:p>
        </w:tc>
        <w:tc>
          <w:tcPr>
            <w:tcW w:type="dxa" w:w="3552"/>
            <w:vAlign w:val="top"/>
          </w:tcPr>
          <w:p>
            <w:pPr>
              <w:spacing w:after="0"/>
            </w:pPr>
            <w:r>
              <w:rPr>
                <w:rFonts w:ascii="Times New Roman" w:hAnsi="Times New Roman"/>
                <w:sz w:val="14"/>
              </w:rPr>
              <w:t>Christological link is typological; Psalm is not simple lexical proof of ear-boring.</w:t>
            </w:r>
          </w:p>
        </w:tc>
      </w:tr>
      <w:tr>
        <w:tc>
          <w:tcPr>
            <w:tcW w:type="dxa" w:w="3552"/>
            <w:vAlign w:val="top"/>
          </w:tcPr>
          <w:p>
            <w:pPr>
              <w:spacing w:after="0"/>
            </w:pPr>
            <w:r>
              <w:rPr>
                <w:rFonts w:ascii="Times New Roman" w:hAnsi="Times New Roman"/>
                <w:sz w:val="14"/>
              </w:rPr>
              <w:t>Ex. 21:7</w:t>
            </w:r>
          </w:p>
        </w:tc>
        <w:tc>
          <w:tcPr>
            <w:tcW w:type="dxa" w:w="3552"/>
            <w:vAlign w:val="top"/>
          </w:tcPr>
          <w:p>
            <w:pPr>
              <w:spacing w:after="0"/>
            </w:pPr>
            <w:r>
              <w:rPr>
                <w:rFonts w:ascii="Times New Roman" w:hAnsi="Times New Roman"/>
                <w:sz w:val="14"/>
              </w:rPr>
              <w:t>amah</w:t>
            </w:r>
          </w:p>
        </w:tc>
        <w:tc>
          <w:tcPr>
            <w:tcW w:type="dxa" w:w="3552"/>
            <w:vAlign w:val="top"/>
          </w:tcPr>
          <w:p>
            <w:pPr>
              <w:spacing w:after="0"/>
            </w:pPr>
            <w:r>
              <w:rPr>
                <w:rFonts w:ascii="Times New Roman" w:hAnsi="Times New Roman"/>
                <w:sz w:val="14"/>
              </w:rPr>
              <w:t>Female servant; context anticipates possible marriage.</w:t>
            </w:r>
          </w:p>
        </w:tc>
      </w:tr>
      <w:tr>
        <w:tc>
          <w:tcPr>
            <w:tcW w:type="dxa" w:w="3552"/>
            <w:vAlign w:val="top"/>
          </w:tcPr>
          <w:p>
            <w:pPr>
              <w:spacing w:after="0"/>
            </w:pPr>
            <w:r>
              <w:rPr>
                <w:rFonts w:ascii="Times New Roman" w:hAnsi="Times New Roman"/>
                <w:sz w:val="14"/>
              </w:rPr>
              <w:t>Ex. 21:10</w:t>
            </w:r>
          </w:p>
        </w:tc>
        <w:tc>
          <w:tcPr>
            <w:tcW w:type="dxa" w:w="3552"/>
            <w:vAlign w:val="top"/>
          </w:tcPr>
          <w:p>
            <w:pPr>
              <w:spacing w:after="0"/>
            </w:pPr>
            <w:r>
              <w:rPr>
                <w:rFonts w:ascii="Times New Roman" w:hAnsi="Times New Roman"/>
                <w:sz w:val="14"/>
              </w:rPr>
              <w:t>‘onah</w:t>
            </w:r>
          </w:p>
        </w:tc>
        <w:tc>
          <w:tcPr>
            <w:tcW w:type="dxa" w:w="3552"/>
            <w:vAlign w:val="top"/>
          </w:tcPr>
          <w:p>
            <w:pPr>
              <w:spacing w:after="0"/>
            </w:pPr>
            <w:r>
              <w:rPr>
                <w:rFonts w:ascii="Times New Roman" w:hAnsi="Times New Roman"/>
                <w:sz w:val="14"/>
              </w:rPr>
              <w:t>Rare word, commonly marital/conjugal right.</w:t>
            </w:r>
          </w:p>
        </w:tc>
      </w:tr>
      <w:tr>
        <w:tc>
          <w:tcPr>
            <w:tcW w:type="dxa" w:w="3552"/>
            <w:vAlign w:val="top"/>
          </w:tcPr>
          <w:p>
            <w:pPr>
              <w:spacing w:after="0"/>
            </w:pPr>
            <w:r>
              <w:rPr>
                <w:rFonts w:ascii="Times New Roman" w:hAnsi="Times New Roman"/>
                <w:sz w:val="14"/>
              </w:rPr>
              <w:t>Ex. 21:12–14</w:t>
            </w:r>
          </w:p>
        </w:tc>
        <w:tc>
          <w:tcPr>
            <w:tcW w:type="dxa" w:w="3552"/>
            <w:vAlign w:val="top"/>
          </w:tcPr>
          <w:p>
            <w:pPr>
              <w:spacing w:after="0"/>
            </w:pPr>
            <w:r>
              <w:rPr>
                <w:rFonts w:ascii="Times New Roman" w:hAnsi="Times New Roman"/>
                <w:sz w:val="14"/>
              </w:rPr>
              <w:t>intentional vs unintentional killing</w:t>
            </w:r>
          </w:p>
        </w:tc>
        <w:tc>
          <w:tcPr>
            <w:tcW w:type="dxa" w:w="3552"/>
            <w:vAlign w:val="top"/>
          </w:tcPr>
          <w:p>
            <w:pPr>
              <w:spacing w:after="0"/>
            </w:pPr>
            <w:r>
              <w:rPr>
                <w:rFonts w:ascii="Times New Roman" w:hAnsi="Times New Roman"/>
                <w:sz w:val="14"/>
              </w:rPr>
              <w:t>Later refuge laws expand distinction.</w:t>
            </w:r>
          </w:p>
        </w:tc>
      </w:tr>
      <w:tr>
        <w:tc>
          <w:tcPr>
            <w:tcW w:type="dxa" w:w="3552"/>
            <w:vAlign w:val="top"/>
          </w:tcPr>
          <w:p>
            <w:pPr>
              <w:spacing w:after="0"/>
            </w:pPr>
            <w:r>
              <w:rPr>
                <w:rFonts w:ascii="Times New Roman" w:hAnsi="Times New Roman"/>
                <w:sz w:val="14"/>
              </w:rPr>
              <w:t>Ex. 21:16</w:t>
            </w:r>
          </w:p>
        </w:tc>
        <w:tc>
          <w:tcPr>
            <w:tcW w:type="dxa" w:w="3552"/>
            <w:vAlign w:val="top"/>
          </w:tcPr>
          <w:p>
            <w:pPr>
              <w:spacing w:after="0"/>
            </w:pPr>
            <w:r>
              <w:rPr>
                <w:rFonts w:ascii="Times New Roman" w:hAnsi="Times New Roman"/>
                <w:sz w:val="14"/>
              </w:rPr>
              <w:t>man-stealing</w:t>
            </w:r>
          </w:p>
        </w:tc>
        <w:tc>
          <w:tcPr>
            <w:tcW w:type="dxa" w:w="3552"/>
            <w:vAlign w:val="top"/>
          </w:tcPr>
          <w:p>
            <w:pPr>
              <w:spacing w:after="0"/>
            </w:pPr>
            <w:r>
              <w:rPr>
                <w:rFonts w:ascii="Times New Roman" w:hAnsi="Times New Roman"/>
                <w:sz w:val="14"/>
              </w:rPr>
              <w:t>Kidnapping/selling or holding a person is capital crime.</w:t>
            </w:r>
          </w:p>
        </w:tc>
      </w:tr>
      <w:tr>
        <w:tc>
          <w:tcPr>
            <w:tcW w:type="dxa" w:w="3552"/>
            <w:vAlign w:val="top"/>
          </w:tcPr>
          <w:p>
            <w:pPr>
              <w:spacing w:after="0"/>
            </w:pPr>
            <w:r>
              <w:rPr>
                <w:rFonts w:ascii="Times New Roman" w:hAnsi="Times New Roman"/>
                <w:sz w:val="14"/>
              </w:rPr>
              <w:t>Ex. 21:19</w:t>
            </w:r>
          </w:p>
        </w:tc>
        <w:tc>
          <w:tcPr>
            <w:tcW w:type="dxa" w:w="3552"/>
            <w:vAlign w:val="top"/>
          </w:tcPr>
          <w:p>
            <w:pPr>
              <w:spacing w:after="0"/>
            </w:pPr>
            <w:r>
              <w:rPr>
                <w:rFonts w:ascii="Times New Roman" w:hAnsi="Times New Roman"/>
                <w:sz w:val="14"/>
              </w:rPr>
              <w:t>loss of time + healing</w:t>
            </w:r>
          </w:p>
        </w:tc>
        <w:tc>
          <w:tcPr>
            <w:tcW w:type="dxa" w:w="3552"/>
            <w:vAlign w:val="top"/>
          </w:tcPr>
          <w:p>
            <w:pPr>
              <w:spacing w:after="0"/>
            </w:pPr>
            <w:r>
              <w:rPr>
                <w:rFonts w:ascii="Times New Roman" w:hAnsi="Times New Roman"/>
                <w:sz w:val="14"/>
              </w:rPr>
              <w:t>Compensatory justice.</w:t>
            </w:r>
          </w:p>
        </w:tc>
      </w:tr>
      <w:tr>
        <w:tc>
          <w:tcPr>
            <w:tcW w:type="dxa" w:w="3552"/>
            <w:vAlign w:val="top"/>
          </w:tcPr>
          <w:p>
            <w:pPr>
              <w:spacing w:after="0"/>
            </w:pPr>
            <w:r>
              <w:rPr>
                <w:rFonts w:ascii="Times New Roman" w:hAnsi="Times New Roman"/>
                <w:sz w:val="14"/>
              </w:rPr>
              <w:t>Ex. 21:20–21</w:t>
            </w:r>
          </w:p>
        </w:tc>
        <w:tc>
          <w:tcPr>
            <w:tcW w:type="dxa" w:w="3552"/>
            <w:vAlign w:val="top"/>
          </w:tcPr>
          <w:p>
            <w:pPr>
              <w:spacing w:after="0"/>
            </w:pPr>
            <w:r>
              <w:rPr>
                <w:rFonts w:ascii="Times New Roman" w:hAnsi="Times New Roman"/>
                <w:sz w:val="14"/>
              </w:rPr>
              <w:t>servant beating</w:t>
            </w:r>
          </w:p>
        </w:tc>
        <w:tc>
          <w:tcPr>
            <w:tcW w:type="dxa" w:w="3552"/>
            <w:vAlign w:val="top"/>
          </w:tcPr>
          <w:p>
            <w:pPr>
              <w:spacing w:after="0"/>
            </w:pPr>
            <w:r>
              <w:rPr>
                <w:rFonts w:ascii="Times New Roman" w:hAnsi="Times New Roman"/>
                <w:sz w:val="14"/>
              </w:rPr>
              <w:t>Economic-language clause does not license cruelty.</w:t>
            </w:r>
          </w:p>
        </w:tc>
      </w:tr>
      <w:tr>
        <w:tc>
          <w:tcPr>
            <w:tcW w:type="dxa" w:w="3552"/>
            <w:vAlign w:val="top"/>
          </w:tcPr>
          <w:p>
            <w:pPr>
              <w:spacing w:after="0"/>
            </w:pPr>
            <w:r>
              <w:rPr>
                <w:rFonts w:ascii="Times New Roman" w:hAnsi="Times New Roman"/>
                <w:sz w:val="14"/>
              </w:rPr>
              <w:t>Ex. 21:22</w:t>
            </w:r>
          </w:p>
        </w:tc>
        <w:tc>
          <w:tcPr>
            <w:tcW w:type="dxa" w:w="3552"/>
            <w:vAlign w:val="top"/>
          </w:tcPr>
          <w:p>
            <w:pPr>
              <w:spacing w:after="0"/>
            </w:pPr>
            <w:r>
              <w:rPr>
                <w:rFonts w:ascii="Times New Roman" w:hAnsi="Times New Roman"/>
                <w:sz w:val="14"/>
              </w:rPr>
              <w:t>yatsa’ yeladeha</w:t>
            </w:r>
          </w:p>
        </w:tc>
        <w:tc>
          <w:tcPr>
            <w:tcW w:type="dxa" w:w="3552"/>
            <w:vAlign w:val="top"/>
          </w:tcPr>
          <w:p>
            <w:pPr>
              <w:spacing w:after="0"/>
            </w:pPr>
            <w:r>
              <w:rPr>
                <w:rFonts w:ascii="Times New Roman" w:hAnsi="Times New Roman"/>
                <w:sz w:val="14"/>
              </w:rPr>
              <w:t>Wording of pregnancy case disputed; avoid overclaiming exact obstetric outcome.</w:t>
            </w:r>
          </w:p>
        </w:tc>
      </w:tr>
      <w:tr>
        <w:tc>
          <w:tcPr>
            <w:tcW w:type="dxa" w:w="3552"/>
            <w:vAlign w:val="top"/>
          </w:tcPr>
          <w:p>
            <w:pPr>
              <w:spacing w:after="0"/>
            </w:pPr>
            <w:r>
              <w:rPr>
                <w:rFonts w:ascii="Times New Roman" w:hAnsi="Times New Roman"/>
                <w:sz w:val="14"/>
              </w:rPr>
              <w:t>Ex. 21:23–25</w:t>
            </w:r>
          </w:p>
        </w:tc>
        <w:tc>
          <w:tcPr>
            <w:tcW w:type="dxa" w:w="3552"/>
            <w:vAlign w:val="top"/>
          </w:tcPr>
          <w:p>
            <w:pPr>
              <w:spacing w:after="0"/>
            </w:pPr>
            <w:r>
              <w:rPr>
                <w:rFonts w:ascii="Times New Roman" w:hAnsi="Times New Roman"/>
                <w:sz w:val="14"/>
              </w:rPr>
              <w:t>lex talionis</w:t>
            </w:r>
          </w:p>
        </w:tc>
        <w:tc>
          <w:tcPr>
            <w:tcW w:type="dxa" w:w="3552"/>
            <w:vAlign w:val="top"/>
          </w:tcPr>
          <w:p>
            <w:pPr>
              <w:spacing w:after="0"/>
            </w:pPr>
            <w:r>
              <w:rPr>
                <w:rFonts w:ascii="Times New Roman" w:hAnsi="Times New Roman"/>
                <w:sz w:val="14"/>
              </w:rPr>
              <w:t>Judicial proportionality, not private revenge.</w:t>
            </w:r>
          </w:p>
        </w:tc>
      </w:tr>
      <w:tr>
        <w:tc>
          <w:tcPr>
            <w:tcW w:type="dxa" w:w="3552"/>
            <w:vAlign w:val="top"/>
          </w:tcPr>
          <w:p>
            <w:pPr>
              <w:spacing w:after="0"/>
            </w:pPr>
            <w:r>
              <w:rPr>
                <w:rFonts w:ascii="Times New Roman" w:hAnsi="Times New Roman"/>
                <w:sz w:val="14"/>
              </w:rPr>
              <w:t>Matt. 5:38–42</w:t>
            </w:r>
          </w:p>
        </w:tc>
        <w:tc>
          <w:tcPr>
            <w:tcW w:type="dxa" w:w="3552"/>
            <w:vAlign w:val="top"/>
          </w:tcPr>
          <w:p>
            <w:pPr>
              <w:spacing w:after="0"/>
            </w:pPr>
            <w:r>
              <w:rPr>
                <w:rFonts w:ascii="Times New Roman" w:hAnsi="Times New Roman"/>
                <w:sz w:val="14"/>
              </w:rPr>
              <w:t>non-retaliation</w:t>
            </w:r>
          </w:p>
        </w:tc>
        <w:tc>
          <w:tcPr>
            <w:tcW w:type="dxa" w:w="3552"/>
            <w:vAlign w:val="top"/>
          </w:tcPr>
          <w:p>
            <w:pPr>
              <w:spacing w:after="0"/>
            </w:pPr>
            <w:r>
              <w:rPr>
                <w:rFonts w:ascii="Times New Roman" w:hAnsi="Times New Roman"/>
                <w:sz w:val="14"/>
              </w:rPr>
              <w:t>Christ forbids personal vengeance; does not call Mosaic proportional justice evil.</w:t>
            </w:r>
          </w:p>
        </w:tc>
      </w:tr>
      <w:tr>
        <w:tc>
          <w:tcPr>
            <w:tcW w:type="dxa" w:w="3552"/>
            <w:vAlign w:val="top"/>
          </w:tcPr>
          <w:p>
            <w:pPr>
              <w:spacing w:after="0"/>
            </w:pPr>
            <w:r>
              <w:rPr>
                <w:rFonts w:ascii="Times New Roman" w:hAnsi="Times New Roman"/>
                <w:sz w:val="14"/>
              </w:rPr>
              <w:t>Ex. 21:30</w:t>
            </w:r>
          </w:p>
        </w:tc>
        <w:tc>
          <w:tcPr>
            <w:tcW w:type="dxa" w:w="3552"/>
            <w:vAlign w:val="top"/>
          </w:tcPr>
          <w:p>
            <w:pPr>
              <w:spacing w:after="0"/>
            </w:pPr>
            <w:r>
              <w:rPr>
                <w:rFonts w:ascii="Times New Roman" w:hAnsi="Times New Roman"/>
                <w:sz w:val="14"/>
              </w:rPr>
              <w:t>kopher</w:t>
            </w:r>
          </w:p>
        </w:tc>
        <w:tc>
          <w:tcPr>
            <w:tcW w:type="dxa" w:w="3552"/>
            <w:vAlign w:val="top"/>
          </w:tcPr>
          <w:p>
            <w:pPr>
              <w:spacing w:after="0"/>
            </w:pPr>
            <w:r>
              <w:rPr>
                <w:rFonts w:ascii="Times New Roman" w:hAnsi="Times New Roman"/>
                <w:sz w:val="14"/>
              </w:rPr>
              <w:t>Ransom/redemption payment.</w:t>
            </w:r>
          </w:p>
        </w:tc>
      </w:tr>
      <w:tr>
        <w:tc>
          <w:tcPr>
            <w:tcW w:type="dxa" w:w="3552"/>
            <w:vAlign w:val="top"/>
          </w:tcPr>
          <w:p>
            <w:pPr>
              <w:spacing w:after="0"/>
            </w:pPr>
            <w:r>
              <w:rPr>
                <w:rFonts w:ascii="Times New Roman" w:hAnsi="Times New Roman"/>
                <w:sz w:val="14"/>
              </w:rPr>
              <w:t>Ex. 21:33</w:t>
            </w:r>
          </w:p>
        </w:tc>
        <w:tc>
          <w:tcPr>
            <w:tcW w:type="dxa" w:w="3552"/>
            <w:vAlign w:val="top"/>
          </w:tcPr>
          <w:p>
            <w:pPr>
              <w:spacing w:after="0"/>
            </w:pPr>
            <w:r>
              <w:rPr>
                <w:rFonts w:ascii="Times New Roman" w:hAnsi="Times New Roman"/>
                <w:sz w:val="14"/>
              </w:rPr>
              <w:t>bor</w:t>
            </w:r>
          </w:p>
        </w:tc>
        <w:tc>
          <w:tcPr>
            <w:tcW w:type="dxa" w:w="3552"/>
            <w:vAlign w:val="top"/>
          </w:tcPr>
          <w:p>
            <w:pPr>
              <w:spacing w:after="0"/>
            </w:pPr>
            <w:r>
              <w:rPr>
                <w:rFonts w:ascii="Times New Roman" w:hAnsi="Times New Roman"/>
                <w:sz w:val="14"/>
              </w:rPr>
              <w:t>Pit/cistern/hole; creator of hazard bears liability.</w:t>
            </w:r>
          </w:p>
        </w:tc>
      </w:tr>
    </w:tbl>
    <w:p>
      <w:pPr>
        <w:pStyle w:val="Heading1"/>
      </w:pPr>
      <w:r>
        <w:t>RESIDUAL UNCERTAINTIES</w:t>
      </w:r>
    </w:p>
    <w:p>
      <w:pPr/>
      <w:r>
        <w:rPr>
          <w:i w:val="0"/>
        </w:rPr>
        <w:t>The pregnancy case in verses 22–25 remains one of the chapter’s major interpretive difficulties, especially the exact outcome intended by “her offspring come out.” The precise scope of ha’elohim in verse 6 and ‘onah in verse 10 also deserves lexical caution. Mansfield’s extensive Christ/servant correspondence is retained as typology rather than turned into direct prediction.</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EXODUS 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0" w:after="18"/>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0" w:after="18"/>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