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22</w:t>
      </w:r>
    </w:p>
    <w:p>
      <w:pPr>
        <w:pStyle w:val="Subtitle"/>
      </w:pPr>
      <w:r>
        <w:t>RESTITUTION • NEGLIGENCE • ENTRUSTED PROPERTY • SEXUAL RESPONSIBILITY • OCCULTISM AND IDOLATRY • THE STRANGER, WIDOW AND POOR • HOLINESS</w:t>
      </w:r>
    </w:p>
    <w:p>
      <w:pPr/>
      <w:r>
        <w:rPr>
          <w:i/>
        </w:rPr>
        <w:t>H. P. Mansfield Bible notes — checked and arranged in verse-by-verse Expositor style</w:t>
      </w:r>
    </w:p>
    <w:p>
      <w:pPr/>
      <w:r>
        <w:rPr>
          <w:i w:val="0"/>
        </w:rPr>
        <w:t>Source: HPB 02-Gen42-Lev11.pdf, principally Exodus 22 photographed pages 50–52</w:t>
      </w:r>
    </w:p>
    <w:p>
      <w:pPr>
        <w:pStyle w:val="Heading1"/>
      </w:pPr>
      <w:r>
        <w:t>CHAPTER OVERVIEW</w:t>
      </w:r>
    </w:p>
    <w:p>
      <w:pPr/>
      <w:r>
        <w:rPr>
          <w:i w:val="0"/>
        </w:rPr>
        <w:t>Exodus 22 continues the Book of the Covenant by applying holiness to property, negligence, lending, sexuality, worship and treatment of vulnerable people. The dominant pattern is restitution rather than punishment for punishment’s sake.</w:t>
      </w:r>
    </w:p>
    <w:p>
      <w:pPr/>
      <w:r>
        <w:rPr>
          <w:i w:val="0"/>
        </w:rPr>
        <w:t>Yahweh’s law refuses both sentimental partiality and economic exploitation. Evidence matters, borrowers accept responsibility, seduction creates obligations, sorcery and idolatry challenge covenant loyalty, and remembered suffering in Egypt must make Israel compassionate toward strangers, widows, fatherless children and the poor.</w:t>
      </w:r>
    </w:p>
    <w:p>
      <w:pPr>
        <w:pStyle w:val="Heading1"/>
      </w:pPr>
      <w:r>
        <w:t>PROPERTY, THEFT AND NEGLIGENCE — EXODUS 22:1–15</w:t>
      </w:r>
    </w:p>
    <w:p>
      <w:pPr>
        <w:pStyle w:val="Heading2"/>
      </w:pPr>
      <w:r>
        <w:t>Exodus 22:1–4 — restitution for theft</w:t>
      </w:r>
    </w:p>
    <w:p>
      <w:pPr/>
      <w:r>
        <w:rPr>
          <w:i w:val="0"/>
        </w:rPr>
        <w:t>Where stolen livestock has been slaughtered or sold, restitution exceeds simple repayment; where the animal is recovered alive, double restitution applies. The offender must bear a real cost and restore the victim.</w:t>
      </w:r>
    </w:p>
    <w:p>
      <w:pPr/>
      <w:r>
        <w:rPr>
          <w:i w:val="0"/>
        </w:rPr>
        <w:t>The night-breaking case distinguishes an immediate uncertain threat from retaliatory killing after daylight. The Hebrew expression “bloodguilt” indicates that killing a thief is not automatically excused once the circumstances permit recognition and restraint.</w:t>
      </w:r>
    </w:p>
    <w:p>
      <w:pPr>
        <w:pStyle w:val="Heading2"/>
      </w:pPr>
      <w:r>
        <w:t>Exodus 22:5–6 — grazing and fire damage</w:t>
      </w:r>
    </w:p>
    <w:p>
      <w:pPr/>
      <w:r>
        <w:rPr>
          <w:i w:val="0"/>
        </w:rPr>
        <w:t>A person whose livestock consumes another’s field must compensate from the best of his own produce. Likewise one who starts a fire that spreads into standing grain bears the loss. Indirect or careless causation does not erase responsibility.</w:t>
      </w:r>
    </w:p>
    <w:p>
      <w:pPr>
        <w:pStyle w:val="Heading2"/>
      </w:pPr>
      <w:r>
        <w:t>Exodus 22:7–13 — entrusted goods and judicial inquiry</w:t>
      </w:r>
    </w:p>
    <w:p>
      <w:pPr/>
      <w:r>
        <w:rPr>
          <w:i w:val="0"/>
        </w:rPr>
        <w:t>Loss of entrusted property is not treated as automatic proof of fraud. If a thief is found, the thief pays; otherwise the matter comes before ha’elohim, the judicial authority acting under God, to determine whether the keeper misappropriated the goods.</w:t>
      </w:r>
    </w:p>
    <w:p>
      <w:pPr/>
      <w:r>
        <w:rPr>
          <w:i w:val="0"/>
        </w:rPr>
        <w:t>Where livestock is killed by a wild beast, evidence of the torn animal can establish that the keeper could not prevent the loss. The law therefore values evidence and distinguishes culpable misuse from unavoidable event.</w:t>
      </w:r>
    </w:p>
    <w:p>
      <w:pPr>
        <w:pStyle w:val="Heading2"/>
      </w:pPr>
      <w:r>
        <w:t>Exodus 22:14–15 — borrowing and hiring</w:t>
      </w:r>
    </w:p>
    <w:p>
      <w:pPr/>
      <w:r>
        <w:rPr>
          <w:i w:val="0"/>
        </w:rPr>
        <w:t>A borrower bears greater responsibility when borrowed livestock is damaged in the owner’s absence. If the owner is present, shared oversight changes liability; if the animal is hired, the hire itself covers ordinary contractual risk.</w:t>
      </w:r>
    </w:p>
    <w:p>
      <w:pPr>
        <w:pStyle w:val="Heading1"/>
      </w:pPr>
      <w:r>
        <w:t>SEXUAL MORALITY AND EXCLUSIVE WORSHIP — EXODUS 22:16–20</w:t>
      </w:r>
    </w:p>
    <w:p>
      <w:pPr>
        <w:pStyle w:val="Heading2"/>
      </w:pPr>
      <w:r>
        <w:t>Exodus 22:16–17 — seduction creates obligation</w:t>
      </w:r>
    </w:p>
    <w:p>
      <w:pPr/>
      <w:r>
        <w:rPr>
          <w:i w:val="0"/>
        </w:rPr>
        <w:t>A man who seduces an unbetrothed virgin must pay the mohar, bride-price/dowry, and accept the social consequences. The father can refuse the marriage, but the financial obligation remains. The law therefore prevents sexual use followed by effortless abandonment.</w:t>
      </w:r>
    </w:p>
    <w:p>
      <w:pPr>
        <w:pStyle w:val="Heading2"/>
      </w:pPr>
      <w:r>
        <w:t>Exodus 22:18 — sorcery</w:t>
      </w:r>
    </w:p>
    <w:p>
      <w:pPr/>
      <w:r>
        <w:rPr>
          <w:i w:val="0"/>
        </w:rPr>
        <w:t>The KJV “witch” translates mekhashephah, a woman practising sorcery/magic. The law concerns occult practice seeking power or knowledge apart from Yahweh, not later folklore categories indiscriminately applied to unpopular women. Biblical revelation and prophecy are categorically different because their source is Yahweh.</w:t>
      </w:r>
    </w:p>
    <w:p>
      <w:pPr>
        <w:pStyle w:val="Heading2"/>
      </w:pPr>
      <w:r>
        <w:t>Exodus 22:19–20 — bestiality and sacrifice to other gods</w:t>
      </w:r>
    </w:p>
    <w:p>
      <w:pPr/>
      <w:r>
        <w:rPr>
          <w:i w:val="0"/>
        </w:rPr>
        <w:t>Bestiality is condemned as a violation of created sexual order. Sacrifice to another god constitutes covenant treachery and places the offender under cherem — devoted to destruction. Yahweh’s worship is exclusive.</w:t>
      </w:r>
    </w:p>
    <w:p>
      <w:pPr>
        <w:pStyle w:val="Heading1"/>
      </w:pPr>
      <w:r>
        <w:t>THE STRANGER, WIDOW, FATHERLESS AND POOR — EXODUS 22:21–27</w:t>
      </w:r>
    </w:p>
    <w:p>
      <w:pPr>
        <w:pStyle w:val="Heading2"/>
      </w:pPr>
      <w:r>
        <w:t>Exodus 22:21 — remembered oppression must produce empathy</w:t>
      </w:r>
    </w:p>
    <w:p>
      <w:pPr/>
      <w:r>
        <w:rPr>
          <w:i w:val="0"/>
        </w:rPr>
        <w:t>Israel must neither wrong nor oppress the ger, resident stranger/sojourner, because Israel itself was a stranger in Egypt. Memory of suffering is intended to create moral identification with the vulnerable rather than imitation of the former oppressor.</w:t>
      </w:r>
    </w:p>
    <w:p>
      <w:pPr>
        <w:pStyle w:val="Heading2"/>
      </w:pPr>
      <w:r>
        <w:t>Exodus 22:22–24 — Yahweh hears the unprotected</w:t>
      </w:r>
    </w:p>
    <w:p>
      <w:pPr/>
      <w:r>
        <w:rPr>
          <w:i w:val="0"/>
        </w:rPr>
        <w:t>Widow and fatherless child receive explicit Divine protection. If afflicted and they cry, Yahweh says He will hear. The threatened judgment mirrors the offence: those who create widows and fatherless children can experience the same loss.</w:t>
      </w:r>
    </w:p>
    <w:p>
      <w:pPr>
        <w:pStyle w:val="Heading2"/>
      </w:pPr>
      <w:r>
        <w:t>Exodus 22:25–27 — no exploitation through debt</w:t>
      </w:r>
    </w:p>
    <w:p>
      <w:pPr/>
      <w:r>
        <w:rPr>
          <w:i w:val="0"/>
        </w:rPr>
        <w:t>A poor brother is not to be treated like a commercial opportunity. Neshekh is interest/usury, literally associated with a “bite”; the prohibition here concerns lending to the poor covenant brother in distress.</w:t>
      </w:r>
    </w:p>
    <w:p>
      <w:pPr/>
      <w:r>
        <w:rPr>
          <w:i w:val="0"/>
        </w:rPr>
        <w:t>A cloak taken as pledge must be returned by sunset because it may be the debtor’s only covering. Yahweh grounds the humane requirement in His own character: “for I am gracious.”</w:t>
      </w:r>
    </w:p>
    <w:p>
      <w:pPr>
        <w:pStyle w:val="Heading1"/>
      </w:pPr>
      <w:r>
        <w:t>AUTHORITY, FIRSTFRUITS AND HOLINESS — EXODUS 22:28–31</w:t>
      </w:r>
    </w:p>
    <w:p>
      <w:pPr>
        <w:pStyle w:val="Heading2"/>
      </w:pPr>
      <w:r>
        <w:t>Exodus 22:28 — God/judges and ruler</w:t>
      </w:r>
    </w:p>
    <w:p>
      <w:pPr/>
      <w:r>
        <w:rPr>
          <w:i w:val="0"/>
        </w:rPr>
        <w:t>“Thou shalt not revile the gods” uses elohim and can be understood as God or judicial representatives; the second clause clearly says, “nor curse the ruler of thy people.” Paul quotes that ruler clause in Acts 23:5 when he realises he has spoken against the high priest.</w:t>
      </w:r>
    </w:p>
    <w:p>
      <w:pPr>
        <w:pStyle w:val="Heading2"/>
      </w:pPr>
      <w:r>
        <w:t>Exodus 22:29–30 — first produce and firstborn</w:t>
      </w:r>
    </w:p>
    <w:p>
      <w:pPr/>
      <w:r>
        <w:rPr>
          <w:i w:val="0"/>
        </w:rPr>
        <w:t>Israel must not delay what belongs first to Yahweh. The Hebrew terms for the first produce are unusual, so highly specific fruit-press etymologies should be treated cautiously. The firstborn principle continues Exodus 13: those preserved by Yahweh belong to Him.</w:t>
      </w:r>
    </w:p>
    <w:p>
      <w:pPr>
        <w:pStyle w:val="Heading2"/>
      </w:pPr>
      <w:r>
        <w:t>Exodus 22:31 — “holy men unto me”</w:t>
      </w:r>
    </w:p>
    <w:p>
      <w:pPr/>
      <w:r>
        <w:rPr>
          <w:i w:val="0"/>
        </w:rPr>
        <w:t>The chapter ends by making holiness the governing identity. Flesh torn by beasts is not to be eaten but thrown to dogs. Whatever hygienic effects may exist, the stated theological point is separation: ordinary food habits belong under Yahweh’s holiness.</w:t>
      </w:r>
    </w:p>
    <w:p>
      <w:pPr>
        <w:pStyle w:val="Heading1"/>
      </w:pPr>
      <w:r>
        <w:t>PRINCIPAL THEMES</w:t>
      </w:r>
    </w:p>
    <w:p>
      <w:pPr>
        <w:ind w:left="259" w:hanging="202"/>
      </w:pPr>
      <w:r>
        <w:rPr>
          <w:b/>
        </w:rPr>
        <w:t xml:space="preserve">• </w:t>
      </w:r>
      <w:r>
        <w:t>Restitution seeks to repair wrong rather than merely inflict pain.</w:t>
      </w:r>
    </w:p>
    <w:p>
      <w:pPr>
        <w:ind w:left="259" w:hanging="202"/>
      </w:pPr>
      <w:r>
        <w:rPr>
          <w:b/>
        </w:rPr>
        <w:t xml:space="preserve">• </w:t>
      </w:r>
      <w:r>
        <w:t>Carelessness can create real liability even without malicious intent.</w:t>
      </w:r>
    </w:p>
    <w:p>
      <w:pPr>
        <w:ind w:left="259" w:hanging="202"/>
      </w:pPr>
      <w:r>
        <w:rPr>
          <w:b/>
        </w:rPr>
        <w:t xml:space="preserve">• </w:t>
      </w:r>
      <w:r>
        <w:t>Judicial investigation protects against automatic suspicion.</w:t>
      </w:r>
    </w:p>
    <w:p>
      <w:pPr>
        <w:ind w:left="259" w:hanging="202"/>
      </w:pPr>
      <w:r>
        <w:rPr>
          <w:b/>
        </w:rPr>
        <w:t xml:space="preserve">• </w:t>
      </w:r>
      <w:r>
        <w:t>Sexual behaviour creates enforceable responsibilities.</w:t>
      </w:r>
    </w:p>
    <w:p>
      <w:pPr>
        <w:ind w:left="259" w:hanging="202"/>
      </w:pPr>
      <w:r>
        <w:rPr>
          <w:b/>
        </w:rPr>
        <w:t xml:space="preserve">• </w:t>
      </w:r>
      <w:r>
        <w:t>Occult practice and idolatrous sacrifice challenge Yahweh’s exclusive authority.</w:t>
      </w:r>
    </w:p>
    <w:p>
      <w:pPr>
        <w:ind w:left="259" w:hanging="202"/>
      </w:pPr>
      <w:r>
        <w:rPr>
          <w:b/>
        </w:rPr>
        <w:t xml:space="preserve">• </w:t>
      </w:r>
      <w:r>
        <w:t>Remembered suffering must generate compassion for strangers and the socially vulnerable.</w:t>
      </w:r>
    </w:p>
    <w:p>
      <w:pPr>
        <w:ind w:left="259" w:hanging="202"/>
      </w:pPr>
      <w:r>
        <w:rPr>
          <w:b/>
        </w:rPr>
        <w:t xml:space="preserve">• </w:t>
      </w:r>
      <w:r>
        <w:t>Financial rights are limited by mercy toward basic human need.</w:t>
      </w:r>
    </w:p>
    <w:p>
      <w:pPr>
        <w:ind w:left="259" w:hanging="202"/>
      </w:pPr>
      <w:r>
        <w:rPr>
          <w:b/>
        </w:rPr>
        <w:t xml:space="preserve">• </w:t>
      </w:r>
      <w:r>
        <w:t>Holiness reaches property, sex, worship, finance, authority and food.</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4"/>
              </w:rPr>
              <w:t>Ex. 22:1–4</w:t>
            </w:r>
          </w:p>
        </w:tc>
        <w:tc>
          <w:tcPr>
            <w:tcW w:type="dxa" w:w="3552"/>
            <w:vAlign w:val="top"/>
          </w:tcPr>
          <w:p>
            <w:pPr>
              <w:spacing w:after="0"/>
            </w:pPr>
            <w:r>
              <w:rPr>
                <w:rFonts w:ascii="Times New Roman" w:hAnsi="Times New Roman"/>
                <w:sz w:val="14"/>
              </w:rPr>
              <w:t>restitution multiples</w:t>
            </w:r>
          </w:p>
        </w:tc>
        <w:tc>
          <w:tcPr>
            <w:tcW w:type="dxa" w:w="3552"/>
            <w:vAlign w:val="top"/>
          </w:tcPr>
          <w:p>
            <w:pPr>
              <w:spacing w:after="0"/>
            </w:pPr>
            <w:r>
              <w:rPr>
                <w:rFonts w:ascii="Times New Roman" w:hAnsi="Times New Roman"/>
                <w:sz w:val="14"/>
              </w:rPr>
              <w:t>Greater restitution where stolen stock is disposed of; double if recovered alive.</w:t>
            </w:r>
          </w:p>
        </w:tc>
      </w:tr>
      <w:tr>
        <w:tc>
          <w:tcPr>
            <w:tcW w:type="dxa" w:w="3552"/>
            <w:vAlign w:val="top"/>
          </w:tcPr>
          <w:p>
            <w:pPr>
              <w:spacing w:after="0"/>
            </w:pPr>
            <w:r>
              <w:rPr>
                <w:rFonts w:ascii="Times New Roman" w:hAnsi="Times New Roman"/>
                <w:sz w:val="14"/>
              </w:rPr>
              <w:t>Ex. 22:2–3</w:t>
            </w:r>
          </w:p>
        </w:tc>
        <w:tc>
          <w:tcPr>
            <w:tcW w:type="dxa" w:w="3552"/>
            <w:vAlign w:val="top"/>
          </w:tcPr>
          <w:p>
            <w:pPr>
              <w:spacing w:after="0"/>
            </w:pPr>
            <w:r>
              <w:rPr>
                <w:rFonts w:ascii="Times New Roman" w:hAnsi="Times New Roman"/>
                <w:sz w:val="14"/>
              </w:rPr>
              <w:t>bloodguilt</w:t>
            </w:r>
          </w:p>
        </w:tc>
        <w:tc>
          <w:tcPr>
            <w:tcW w:type="dxa" w:w="3552"/>
            <w:vAlign w:val="top"/>
          </w:tcPr>
          <w:p>
            <w:pPr>
              <w:spacing w:after="0"/>
            </w:pPr>
            <w:r>
              <w:rPr>
                <w:rFonts w:ascii="Times New Roman" w:hAnsi="Times New Roman"/>
                <w:sz w:val="14"/>
              </w:rPr>
              <w:t>Night/day distinction restrains retaliatory killing.</w:t>
            </w:r>
          </w:p>
        </w:tc>
      </w:tr>
      <w:tr>
        <w:tc>
          <w:tcPr>
            <w:tcW w:type="dxa" w:w="3552"/>
            <w:vAlign w:val="top"/>
          </w:tcPr>
          <w:p>
            <w:pPr>
              <w:spacing w:after="0"/>
            </w:pPr>
            <w:r>
              <w:rPr>
                <w:rFonts w:ascii="Times New Roman" w:hAnsi="Times New Roman"/>
                <w:sz w:val="14"/>
              </w:rPr>
              <w:t>Ex. 22:5–6</w:t>
            </w:r>
          </w:p>
        </w:tc>
        <w:tc>
          <w:tcPr>
            <w:tcW w:type="dxa" w:w="3552"/>
            <w:vAlign w:val="top"/>
          </w:tcPr>
          <w:p>
            <w:pPr>
              <w:spacing w:after="0"/>
            </w:pPr>
            <w:r>
              <w:rPr>
                <w:rFonts w:ascii="Times New Roman" w:hAnsi="Times New Roman"/>
                <w:sz w:val="14"/>
              </w:rPr>
              <w:t>negligent damage</w:t>
            </w:r>
          </w:p>
        </w:tc>
        <w:tc>
          <w:tcPr>
            <w:tcW w:type="dxa" w:w="3552"/>
            <w:vAlign w:val="top"/>
          </w:tcPr>
          <w:p>
            <w:pPr>
              <w:spacing w:after="0"/>
            </w:pPr>
            <w:r>
              <w:rPr>
                <w:rFonts w:ascii="Times New Roman" w:hAnsi="Times New Roman"/>
                <w:sz w:val="14"/>
              </w:rPr>
              <w:t>Best-produce restitution and fire liability.</w:t>
            </w:r>
          </w:p>
        </w:tc>
      </w:tr>
      <w:tr>
        <w:tc>
          <w:tcPr>
            <w:tcW w:type="dxa" w:w="3552"/>
            <w:vAlign w:val="top"/>
          </w:tcPr>
          <w:p>
            <w:pPr>
              <w:spacing w:after="0"/>
            </w:pPr>
            <w:r>
              <w:rPr>
                <w:rFonts w:ascii="Times New Roman" w:hAnsi="Times New Roman"/>
                <w:sz w:val="14"/>
              </w:rPr>
              <w:t>Ex. 22:8–9</w:t>
            </w:r>
          </w:p>
        </w:tc>
        <w:tc>
          <w:tcPr>
            <w:tcW w:type="dxa" w:w="3552"/>
            <w:vAlign w:val="top"/>
          </w:tcPr>
          <w:p>
            <w:pPr>
              <w:spacing w:after="0"/>
            </w:pPr>
            <w:r>
              <w:rPr>
                <w:rFonts w:ascii="Times New Roman" w:hAnsi="Times New Roman"/>
                <w:sz w:val="14"/>
              </w:rPr>
              <w:t>ha’elohim</w:t>
            </w:r>
          </w:p>
        </w:tc>
        <w:tc>
          <w:tcPr>
            <w:tcW w:type="dxa" w:w="3552"/>
            <w:vAlign w:val="top"/>
          </w:tcPr>
          <w:p>
            <w:pPr>
              <w:spacing w:after="0"/>
            </w:pPr>
            <w:r>
              <w:rPr>
                <w:rFonts w:ascii="Times New Roman" w:hAnsi="Times New Roman"/>
                <w:sz w:val="14"/>
              </w:rPr>
              <w:t>Judicial authority under God; KJV often “judges.”</w:t>
            </w:r>
          </w:p>
        </w:tc>
      </w:tr>
      <w:tr>
        <w:tc>
          <w:tcPr>
            <w:tcW w:type="dxa" w:w="3552"/>
            <w:vAlign w:val="top"/>
          </w:tcPr>
          <w:p>
            <w:pPr>
              <w:spacing w:after="0"/>
            </w:pPr>
            <w:r>
              <w:rPr>
                <w:rFonts w:ascii="Times New Roman" w:hAnsi="Times New Roman"/>
                <w:sz w:val="14"/>
              </w:rPr>
              <w:t>Ex. 22:12–13</w:t>
            </w:r>
          </w:p>
        </w:tc>
        <w:tc>
          <w:tcPr>
            <w:tcW w:type="dxa" w:w="3552"/>
            <w:vAlign w:val="top"/>
          </w:tcPr>
          <w:p>
            <w:pPr>
              <w:spacing w:after="0"/>
            </w:pPr>
            <w:r>
              <w:rPr>
                <w:rFonts w:ascii="Times New Roman" w:hAnsi="Times New Roman"/>
                <w:sz w:val="14"/>
              </w:rPr>
              <w:t>torn animal evidence</w:t>
            </w:r>
          </w:p>
        </w:tc>
        <w:tc>
          <w:tcPr>
            <w:tcW w:type="dxa" w:w="3552"/>
            <w:vAlign w:val="top"/>
          </w:tcPr>
          <w:p>
            <w:pPr>
              <w:spacing w:after="0"/>
            </w:pPr>
            <w:r>
              <w:rPr>
                <w:rFonts w:ascii="Times New Roman" w:hAnsi="Times New Roman"/>
                <w:sz w:val="14"/>
              </w:rPr>
              <w:t>Unavoidable loss distinguished from culpable misuse.</w:t>
            </w:r>
          </w:p>
        </w:tc>
      </w:tr>
      <w:tr>
        <w:tc>
          <w:tcPr>
            <w:tcW w:type="dxa" w:w="3552"/>
            <w:vAlign w:val="top"/>
          </w:tcPr>
          <w:p>
            <w:pPr>
              <w:spacing w:after="0"/>
            </w:pPr>
            <w:r>
              <w:rPr>
                <w:rFonts w:ascii="Times New Roman" w:hAnsi="Times New Roman"/>
                <w:sz w:val="14"/>
              </w:rPr>
              <w:t>Ex. 22:14–15</w:t>
            </w:r>
          </w:p>
        </w:tc>
        <w:tc>
          <w:tcPr>
            <w:tcW w:type="dxa" w:w="3552"/>
            <w:vAlign w:val="top"/>
          </w:tcPr>
          <w:p>
            <w:pPr>
              <w:spacing w:after="0"/>
            </w:pPr>
            <w:r>
              <w:rPr>
                <w:rFonts w:ascii="Times New Roman" w:hAnsi="Times New Roman"/>
                <w:sz w:val="14"/>
              </w:rPr>
              <w:t>borrow vs hire</w:t>
            </w:r>
          </w:p>
        </w:tc>
        <w:tc>
          <w:tcPr>
            <w:tcW w:type="dxa" w:w="3552"/>
            <w:vAlign w:val="top"/>
          </w:tcPr>
          <w:p>
            <w:pPr>
              <w:spacing w:after="0"/>
            </w:pPr>
            <w:r>
              <w:rPr>
                <w:rFonts w:ascii="Times New Roman" w:hAnsi="Times New Roman"/>
                <w:sz w:val="14"/>
              </w:rPr>
              <w:t>Liability differs according to assumed oversight/contract.</w:t>
            </w:r>
          </w:p>
        </w:tc>
      </w:tr>
      <w:tr>
        <w:tc>
          <w:tcPr>
            <w:tcW w:type="dxa" w:w="3552"/>
            <w:vAlign w:val="top"/>
          </w:tcPr>
          <w:p>
            <w:pPr>
              <w:spacing w:after="0"/>
            </w:pPr>
            <w:r>
              <w:rPr>
                <w:rFonts w:ascii="Times New Roman" w:hAnsi="Times New Roman"/>
                <w:sz w:val="14"/>
              </w:rPr>
              <w:t>Ex. 22:16–17</w:t>
            </w:r>
          </w:p>
        </w:tc>
        <w:tc>
          <w:tcPr>
            <w:tcW w:type="dxa" w:w="3552"/>
            <w:vAlign w:val="top"/>
          </w:tcPr>
          <w:p>
            <w:pPr>
              <w:spacing w:after="0"/>
            </w:pPr>
            <w:r>
              <w:rPr>
                <w:rFonts w:ascii="Times New Roman" w:hAnsi="Times New Roman"/>
                <w:sz w:val="14"/>
              </w:rPr>
              <w:t>mohar</w:t>
            </w:r>
          </w:p>
        </w:tc>
        <w:tc>
          <w:tcPr>
            <w:tcW w:type="dxa" w:w="3552"/>
            <w:vAlign w:val="top"/>
          </w:tcPr>
          <w:p>
            <w:pPr>
              <w:spacing w:after="0"/>
            </w:pPr>
            <w:r>
              <w:rPr>
                <w:rFonts w:ascii="Times New Roman" w:hAnsi="Times New Roman"/>
                <w:sz w:val="14"/>
              </w:rPr>
              <w:t>Bride-price/dowry; father may refuse marriage but payment remains.</w:t>
            </w:r>
          </w:p>
        </w:tc>
      </w:tr>
      <w:tr>
        <w:tc>
          <w:tcPr>
            <w:tcW w:type="dxa" w:w="3552"/>
            <w:vAlign w:val="top"/>
          </w:tcPr>
          <w:p>
            <w:pPr>
              <w:spacing w:after="0"/>
            </w:pPr>
            <w:r>
              <w:rPr>
                <w:rFonts w:ascii="Times New Roman" w:hAnsi="Times New Roman"/>
                <w:sz w:val="14"/>
              </w:rPr>
              <w:t>Ex. 22:18</w:t>
            </w:r>
          </w:p>
        </w:tc>
        <w:tc>
          <w:tcPr>
            <w:tcW w:type="dxa" w:w="3552"/>
            <w:vAlign w:val="top"/>
          </w:tcPr>
          <w:p>
            <w:pPr>
              <w:spacing w:after="0"/>
            </w:pPr>
            <w:r>
              <w:rPr>
                <w:rFonts w:ascii="Times New Roman" w:hAnsi="Times New Roman"/>
                <w:sz w:val="14"/>
              </w:rPr>
              <w:t>mekhashephah</w:t>
            </w:r>
          </w:p>
        </w:tc>
        <w:tc>
          <w:tcPr>
            <w:tcW w:type="dxa" w:w="3552"/>
            <w:vAlign w:val="top"/>
          </w:tcPr>
          <w:p>
            <w:pPr>
              <w:spacing w:after="0"/>
            </w:pPr>
            <w:r>
              <w:rPr>
                <w:rFonts w:ascii="Times New Roman" w:hAnsi="Times New Roman"/>
                <w:sz w:val="14"/>
              </w:rPr>
              <w:t>Female practitioner of sorcery/magic; more precise than generic folklore “witch.”</w:t>
            </w:r>
          </w:p>
        </w:tc>
      </w:tr>
      <w:tr>
        <w:tc>
          <w:tcPr>
            <w:tcW w:type="dxa" w:w="3552"/>
            <w:vAlign w:val="top"/>
          </w:tcPr>
          <w:p>
            <w:pPr>
              <w:spacing w:after="0"/>
            </w:pPr>
            <w:r>
              <w:rPr>
                <w:rFonts w:ascii="Times New Roman" w:hAnsi="Times New Roman"/>
                <w:sz w:val="14"/>
              </w:rPr>
              <w:t>Ex. 22:20</w:t>
            </w:r>
          </w:p>
        </w:tc>
        <w:tc>
          <w:tcPr>
            <w:tcW w:type="dxa" w:w="3552"/>
            <w:vAlign w:val="top"/>
          </w:tcPr>
          <w:p>
            <w:pPr>
              <w:spacing w:after="0"/>
            </w:pPr>
            <w:r>
              <w:rPr>
                <w:rFonts w:ascii="Times New Roman" w:hAnsi="Times New Roman"/>
                <w:sz w:val="14"/>
              </w:rPr>
              <w:t>cherem</w:t>
            </w:r>
          </w:p>
        </w:tc>
        <w:tc>
          <w:tcPr>
            <w:tcW w:type="dxa" w:w="3552"/>
            <w:vAlign w:val="top"/>
          </w:tcPr>
          <w:p>
            <w:pPr>
              <w:spacing w:after="0"/>
            </w:pPr>
            <w:r>
              <w:rPr>
                <w:rFonts w:ascii="Times New Roman" w:hAnsi="Times New Roman"/>
                <w:sz w:val="14"/>
              </w:rPr>
              <w:t>Devoted to destruction in covenant judgment.</w:t>
            </w:r>
          </w:p>
        </w:tc>
      </w:tr>
      <w:tr>
        <w:tc>
          <w:tcPr>
            <w:tcW w:type="dxa" w:w="3552"/>
            <w:vAlign w:val="top"/>
          </w:tcPr>
          <w:p>
            <w:pPr>
              <w:spacing w:after="0"/>
            </w:pPr>
            <w:r>
              <w:rPr>
                <w:rFonts w:ascii="Times New Roman" w:hAnsi="Times New Roman"/>
                <w:sz w:val="14"/>
              </w:rPr>
              <w:t>Ex. 22:21</w:t>
            </w:r>
          </w:p>
        </w:tc>
        <w:tc>
          <w:tcPr>
            <w:tcW w:type="dxa" w:w="3552"/>
            <w:vAlign w:val="top"/>
          </w:tcPr>
          <w:p>
            <w:pPr>
              <w:spacing w:after="0"/>
            </w:pPr>
            <w:r>
              <w:rPr>
                <w:rFonts w:ascii="Times New Roman" w:hAnsi="Times New Roman"/>
                <w:sz w:val="14"/>
              </w:rPr>
              <w:t>ger</w:t>
            </w:r>
          </w:p>
        </w:tc>
        <w:tc>
          <w:tcPr>
            <w:tcW w:type="dxa" w:w="3552"/>
            <w:vAlign w:val="top"/>
          </w:tcPr>
          <w:p>
            <w:pPr>
              <w:spacing w:after="0"/>
            </w:pPr>
            <w:r>
              <w:rPr>
                <w:rFonts w:ascii="Times New Roman" w:hAnsi="Times New Roman"/>
                <w:sz w:val="14"/>
              </w:rPr>
              <w:t>Resident stranger/sojourner.</w:t>
            </w:r>
          </w:p>
        </w:tc>
      </w:tr>
      <w:tr>
        <w:tc>
          <w:tcPr>
            <w:tcW w:type="dxa" w:w="3552"/>
            <w:vAlign w:val="top"/>
          </w:tcPr>
          <w:p>
            <w:pPr>
              <w:spacing w:after="0"/>
            </w:pPr>
            <w:r>
              <w:rPr>
                <w:rFonts w:ascii="Times New Roman" w:hAnsi="Times New Roman"/>
                <w:sz w:val="14"/>
              </w:rPr>
              <w:t>Ex. 22:25</w:t>
            </w:r>
          </w:p>
        </w:tc>
        <w:tc>
          <w:tcPr>
            <w:tcW w:type="dxa" w:w="3552"/>
            <w:vAlign w:val="top"/>
          </w:tcPr>
          <w:p>
            <w:pPr>
              <w:spacing w:after="0"/>
            </w:pPr>
            <w:r>
              <w:rPr>
                <w:rFonts w:ascii="Times New Roman" w:hAnsi="Times New Roman"/>
                <w:sz w:val="14"/>
              </w:rPr>
              <w:t>neshekh</w:t>
            </w:r>
          </w:p>
        </w:tc>
        <w:tc>
          <w:tcPr>
            <w:tcW w:type="dxa" w:w="3552"/>
            <w:vAlign w:val="top"/>
          </w:tcPr>
          <w:p>
            <w:pPr>
              <w:spacing w:after="0"/>
            </w:pPr>
            <w:r>
              <w:rPr>
                <w:rFonts w:ascii="Times New Roman" w:hAnsi="Times New Roman"/>
                <w:sz w:val="14"/>
              </w:rPr>
              <w:t>Interest/usury in lending to the poor; exploitative “bite” imagery.</w:t>
            </w:r>
          </w:p>
        </w:tc>
      </w:tr>
      <w:tr>
        <w:tc>
          <w:tcPr>
            <w:tcW w:type="dxa" w:w="3552"/>
            <w:vAlign w:val="top"/>
          </w:tcPr>
          <w:p>
            <w:pPr>
              <w:spacing w:after="0"/>
            </w:pPr>
            <w:r>
              <w:rPr>
                <w:rFonts w:ascii="Times New Roman" w:hAnsi="Times New Roman"/>
                <w:sz w:val="14"/>
              </w:rPr>
              <w:t>Ex. 22:26–27</w:t>
            </w:r>
          </w:p>
        </w:tc>
        <w:tc>
          <w:tcPr>
            <w:tcW w:type="dxa" w:w="3552"/>
            <w:vAlign w:val="top"/>
          </w:tcPr>
          <w:p>
            <w:pPr>
              <w:spacing w:after="0"/>
            </w:pPr>
            <w:r>
              <w:rPr>
                <w:rFonts w:ascii="Times New Roman" w:hAnsi="Times New Roman"/>
                <w:sz w:val="14"/>
              </w:rPr>
              <w:t>garment pledge</w:t>
            </w:r>
          </w:p>
        </w:tc>
        <w:tc>
          <w:tcPr>
            <w:tcW w:type="dxa" w:w="3552"/>
            <w:vAlign w:val="top"/>
          </w:tcPr>
          <w:p>
            <w:pPr>
              <w:spacing w:after="0"/>
            </w:pPr>
            <w:r>
              <w:rPr>
                <w:rFonts w:ascii="Times New Roman" w:hAnsi="Times New Roman"/>
                <w:sz w:val="14"/>
              </w:rPr>
              <w:t>Must be returned by night for basic welfare.</w:t>
            </w:r>
          </w:p>
        </w:tc>
      </w:tr>
      <w:tr>
        <w:tc>
          <w:tcPr>
            <w:tcW w:type="dxa" w:w="3552"/>
            <w:vAlign w:val="top"/>
          </w:tcPr>
          <w:p>
            <w:pPr>
              <w:spacing w:after="0"/>
            </w:pPr>
            <w:r>
              <w:rPr>
                <w:rFonts w:ascii="Times New Roman" w:hAnsi="Times New Roman"/>
                <w:sz w:val="14"/>
              </w:rPr>
              <w:t>Ex. 22:28</w:t>
            </w:r>
          </w:p>
        </w:tc>
        <w:tc>
          <w:tcPr>
            <w:tcW w:type="dxa" w:w="3552"/>
            <w:vAlign w:val="top"/>
          </w:tcPr>
          <w:p>
            <w:pPr>
              <w:spacing w:after="0"/>
            </w:pPr>
            <w:r>
              <w:rPr>
                <w:rFonts w:ascii="Times New Roman" w:hAnsi="Times New Roman"/>
                <w:sz w:val="14"/>
              </w:rPr>
              <w:t>elohim / ruler</w:t>
            </w:r>
          </w:p>
        </w:tc>
        <w:tc>
          <w:tcPr>
            <w:tcW w:type="dxa" w:w="3552"/>
            <w:vAlign w:val="top"/>
          </w:tcPr>
          <w:p>
            <w:pPr>
              <w:spacing w:after="0"/>
            </w:pPr>
            <w:r>
              <w:rPr>
                <w:rFonts w:ascii="Times New Roman" w:hAnsi="Times New Roman"/>
                <w:sz w:val="14"/>
              </w:rPr>
              <w:t>God or judges in first clause; Acts 23:5 quotes ruler clause.</w:t>
            </w:r>
          </w:p>
        </w:tc>
      </w:tr>
      <w:tr>
        <w:tc>
          <w:tcPr>
            <w:tcW w:type="dxa" w:w="3552"/>
            <w:vAlign w:val="top"/>
          </w:tcPr>
          <w:p>
            <w:pPr>
              <w:spacing w:after="0"/>
            </w:pPr>
            <w:r>
              <w:rPr>
                <w:rFonts w:ascii="Times New Roman" w:hAnsi="Times New Roman"/>
                <w:sz w:val="14"/>
              </w:rPr>
              <w:t>Ex. 22:29</w:t>
            </w:r>
          </w:p>
        </w:tc>
        <w:tc>
          <w:tcPr>
            <w:tcW w:type="dxa" w:w="3552"/>
            <w:vAlign w:val="top"/>
          </w:tcPr>
          <w:p>
            <w:pPr>
              <w:spacing w:after="0"/>
            </w:pPr>
            <w:r>
              <w:rPr>
                <w:rFonts w:ascii="Times New Roman" w:hAnsi="Times New Roman"/>
                <w:sz w:val="14"/>
              </w:rPr>
              <w:t>first produce terms</w:t>
            </w:r>
          </w:p>
        </w:tc>
        <w:tc>
          <w:tcPr>
            <w:tcW w:type="dxa" w:w="3552"/>
            <w:vAlign w:val="top"/>
          </w:tcPr>
          <w:p>
            <w:pPr>
              <w:spacing w:after="0"/>
            </w:pPr>
            <w:r>
              <w:rPr>
                <w:rFonts w:ascii="Times New Roman" w:hAnsi="Times New Roman"/>
                <w:sz w:val="14"/>
              </w:rPr>
              <w:t>Hebrew wording unusual; avoid overconfident press/fruit etymologies.</w:t>
            </w:r>
          </w:p>
        </w:tc>
      </w:tr>
      <w:tr>
        <w:tc>
          <w:tcPr>
            <w:tcW w:type="dxa" w:w="3552"/>
            <w:vAlign w:val="top"/>
          </w:tcPr>
          <w:p>
            <w:pPr>
              <w:spacing w:after="0"/>
            </w:pPr>
            <w:r>
              <w:rPr>
                <w:rFonts w:ascii="Times New Roman" w:hAnsi="Times New Roman"/>
                <w:sz w:val="14"/>
              </w:rPr>
              <w:t>Ex. 22:31</w:t>
            </w:r>
          </w:p>
        </w:tc>
        <w:tc>
          <w:tcPr>
            <w:tcW w:type="dxa" w:w="3552"/>
            <w:vAlign w:val="top"/>
          </w:tcPr>
          <w:p>
            <w:pPr>
              <w:spacing w:after="0"/>
            </w:pPr>
            <w:r>
              <w:rPr>
                <w:rFonts w:ascii="Times New Roman" w:hAnsi="Times New Roman"/>
                <w:sz w:val="14"/>
              </w:rPr>
              <w:t>holy men</w:t>
            </w:r>
          </w:p>
        </w:tc>
        <w:tc>
          <w:tcPr>
            <w:tcW w:type="dxa" w:w="3552"/>
            <w:vAlign w:val="top"/>
          </w:tcPr>
          <w:p>
            <w:pPr>
              <w:spacing w:after="0"/>
            </w:pPr>
            <w:r>
              <w:rPr>
                <w:rFonts w:ascii="Times New Roman" w:hAnsi="Times New Roman"/>
                <w:sz w:val="14"/>
              </w:rPr>
              <w:t>Torn flesh rule framed by holiness, not merely hygiene.</w:t>
            </w:r>
          </w:p>
        </w:tc>
      </w:tr>
    </w:tbl>
    <w:p>
      <w:pPr>
        <w:pStyle w:val="Heading1"/>
      </w:pPr>
      <w:r>
        <w:t>RESIDUAL UNCERTAINTIES</w:t>
      </w:r>
    </w:p>
    <w:p>
      <w:pPr/>
      <w:r>
        <w:rPr>
          <w:i w:val="0"/>
        </w:rPr>
        <w:t>The precise scope of elohim in judicial passages and the uncommon first-produce wording in verse 29 remain lexical questions. The chapter’s sorcery law should be kept in its ancient covenant setting and not projected indiscriminately onto later accusations of “witchcraft.”</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22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0" w:after="18"/>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0" w:after="18"/>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