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23</w:t>
      </w:r>
    </w:p>
    <w:p>
      <w:pPr>
        <w:pStyle w:val="Subtitle"/>
      </w:pPr>
      <w:r>
        <w:t>TRUTH AND JUSTICE • LOVE TOWARD AN ENEMY • SABBATH YEAR AND SABBATH DAY • THREE FEASTS • THE ANGEL WITH YAHWEH’S NAME • “LITTLE AND LITTLE”</w:t>
      </w:r>
    </w:p>
    <w:p>
      <w:pPr/>
      <w:r>
        <w:rPr>
          <w:i/>
        </w:rPr>
        <w:t>H. P. Mansfield Bible notes — checked and arranged in verse-by-verse Expositor style</w:t>
      </w:r>
    </w:p>
    <w:p>
      <w:pPr/>
      <w:r>
        <w:rPr>
          <w:i w:val="0"/>
        </w:rPr>
        <w:t>Source: HPB 02-Gen42-Lev11.pdf, principally Exodus 23 photographed pages 52–53</w:t>
      </w:r>
    </w:p>
    <w:p>
      <w:pPr>
        <w:pStyle w:val="Heading1"/>
      </w:pPr>
      <w:r>
        <w:t>CHAPTER OVERVIEW</w:t>
      </w:r>
    </w:p>
    <w:p>
      <w:pPr/>
      <w:r>
        <w:rPr>
          <w:i w:val="0"/>
        </w:rPr>
        <w:t>Exodus 23 completes the Book of the Covenant. It begins in courtroom speech and neighbourly conduct, moves through sabbatical rhythms and national worship, and ends with Yahweh’s Angel leading Israel toward the land.</w:t>
      </w:r>
    </w:p>
    <w:p>
      <w:pPr/>
      <w:r>
        <w:rPr>
          <w:i w:val="0"/>
        </w:rPr>
        <w:t>The unifying issue is covenant loyalty in situations where convenience, crowd pressure, hatred, bribery or surrounding religion might distort judgment. Justice must be impartial, mercy must reach even an enemy, and worship must remain exclusively Yahweh’s.</w:t>
      </w:r>
    </w:p>
    <w:p>
      <w:pPr>
        <w:pStyle w:val="Heading1"/>
      </w:pPr>
      <w:r>
        <w:t>TRUTH, IMPARTIALITY AND THE ENEMY — EXODUS 23:1–9</w:t>
      </w:r>
    </w:p>
    <w:p>
      <w:pPr>
        <w:pStyle w:val="Heading2"/>
      </w:pPr>
      <w:r>
        <w:t>Exodus 23:1–3 — report, crowd and partiality</w:t>
      </w:r>
    </w:p>
    <w:p>
      <w:pPr/>
      <w:r>
        <w:rPr>
          <w:i w:val="0"/>
        </w:rPr>
        <w:t>Israel must not carry/raise a false report or join a wicked person as a malicious witness. Truth is not established by repetition.</w:t>
      </w:r>
    </w:p>
    <w:p>
      <w:pPr/>
      <w:r>
        <w:rPr>
          <w:i w:val="0"/>
        </w:rPr>
        <w:t>The crowd does not determine justice. Verse 2’s Hebrew is compressed, but its practical thrust is clear: one must not follow the majority into evil or distort a legal cause under majority pressure. Verse 3 balances the section by forbidding sentimental partiality even toward the poor.</w:t>
      </w:r>
    </w:p>
    <w:p>
      <w:pPr>
        <w:pStyle w:val="Heading2"/>
      </w:pPr>
      <w:r>
        <w:t>Exodus 23:4–5 — practical love toward an enemy</w:t>
      </w:r>
    </w:p>
    <w:p>
      <w:pPr/>
      <w:r>
        <w:rPr>
          <w:i w:val="0"/>
        </w:rPr>
        <w:t>An enemy’s wandering ox or ass must be returned, and the burdened animal of one who hates you must be helped. Verse 5 contains a difficult wordplay around ‘azab, “leave/help,” but the required action is clear: do not abandon the distressed animal.</w:t>
      </w:r>
    </w:p>
    <w:p>
      <w:pPr/>
      <w:r>
        <w:rPr>
          <w:i w:val="0"/>
        </w:rPr>
        <w:t>Jesus’ call to love enemies goes beyond mere sentiment and is already anticipated here in concrete neighbourly duty (Matthew 5:44).</w:t>
      </w:r>
    </w:p>
    <w:p>
      <w:pPr>
        <w:pStyle w:val="Heading2"/>
      </w:pPr>
      <w:r>
        <w:t>Exodus 23:6–9 — no bribery, false matter or oppression</w:t>
      </w:r>
    </w:p>
    <w:p>
      <w:pPr/>
      <w:r>
        <w:rPr>
          <w:i w:val="0"/>
        </w:rPr>
        <w:t>The poor person’s case must not be perverted; one must keep far from a false matter and refuse condemnation of innocent and righteous persons. A bribe blinds clear-sighted judgment and twists the words/cause of the righteous.</w:t>
      </w:r>
    </w:p>
    <w:p>
      <w:pPr/>
      <w:r>
        <w:rPr>
          <w:i w:val="0"/>
        </w:rPr>
        <w:t>Again Israel is told not to oppress the stranger because “ye know the heart [nephesh] of a stranger.” Their Egyptian experience is to become empathy.</w:t>
      </w:r>
    </w:p>
    <w:p>
      <w:pPr>
        <w:pStyle w:val="Heading1"/>
      </w:pPr>
      <w:r>
        <w:t>SABBATH RHYTHMS — EXODUS 23:10–13</w:t>
      </w:r>
    </w:p>
    <w:p>
      <w:pPr>
        <w:pStyle w:val="Heading2"/>
      </w:pPr>
      <w:r>
        <w:t>Exodus 23:10–11 — the seventh-year release of the land</w:t>
      </w:r>
    </w:p>
    <w:p>
      <w:pPr/>
      <w:r>
        <w:rPr>
          <w:i w:val="0"/>
        </w:rPr>
        <w:t>Six years of sowing and harvest are followed by a seventh year in which the land is left/rested. The poor may eat what grows, and the beasts receive what remains. The sabbatical principle therefore joins trust in Yahweh, mercy and acknowledgement that the land is ultimately His.</w:t>
      </w:r>
    </w:p>
    <w:p>
      <w:pPr>
        <w:pStyle w:val="Heading2"/>
      </w:pPr>
      <w:r>
        <w:t>Exodus 23:12 — weekly rest for dependants and animals</w:t>
      </w:r>
    </w:p>
    <w:p>
      <w:pPr/>
      <w:r>
        <w:rPr>
          <w:i w:val="0"/>
        </w:rPr>
        <w:t>The seventh-day rest explicitly benefits ox, ass, the son of the maidservant and the stranger. Sabbath is not only a cultic marker; it restrains relentless economic use of weaker humans and animals.</w:t>
      </w:r>
    </w:p>
    <w:p>
      <w:pPr>
        <w:pStyle w:val="Heading2"/>
      </w:pPr>
      <w:r>
        <w:t>Exodus 23:13 — guarding the covenant from idolatrous normalisation</w:t>
      </w:r>
    </w:p>
    <w:p>
      <w:pPr/>
      <w:r>
        <w:rPr>
          <w:i w:val="0"/>
        </w:rPr>
        <w:t>Israel must carefully observe Yahweh’s commands and not make the names of other gods objects of invocation or honour. The verse does not require pretending that the names of false gods cannot ever be spoken in historical discussion; Scripture itself names them when exposing idolatry.</w:t>
      </w:r>
    </w:p>
    <w:p>
      <w:pPr>
        <w:pStyle w:val="Heading1"/>
      </w:pPr>
      <w:r>
        <w:t>THE THREE PILGRIMAGE FEASTS — EXODUS 23:14–19</w:t>
      </w:r>
    </w:p>
    <w:p>
      <w:pPr>
        <w:pStyle w:val="Heading2"/>
      </w:pPr>
      <w:r>
        <w:t>Exodus 23:14–17 — Unleavened Bread, Harvest, Ingathering</w:t>
      </w:r>
    </w:p>
    <w:p>
      <w:pPr/>
      <w:r>
        <w:rPr>
          <w:i w:val="0"/>
        </w:rPr>
        <w:t>Three annual feasts gather Israel before Yahweh: Unleavened Bread in remembrance of the Exodus; Harvest/firstfruits, later called Weeks and associated with Pentecost; and Ingathering at year-end, later known as Booths/Tabernacles.</w:t>
      </w:r>
    </w:p>
    <w:p>
      <w:pPr/>
      <w:r>
        <w:rPr>
          <w:i w:val="0"/>
        </w:rPr>
        <w:t>No male is to appear before Yahweh empty. The feasts turn agricultural cycles into national remembrance, thanksgiving and covenant unity.</w:t>
      </w:r>
    </w:p>
    <w:p>
      <w:pPr>
        <w:pStyle w:val="Heading2"/>
      </w:pPr>
      <w:r>
        <w:t>Exodus 23:18 — blood, leaven and overnight fat</w:t>
      </w:r>
    </w:p>
    <w:p>
      <w:pPr/>
      <w:r>
        <w:rPr>
          <w:i w:val="0"/>
        </w:rPr>
        <w:t>Sacrificial blood is not to be offered with leaven, and the fat of the festival sacrifice is not to remain until morning. The rules require worship according to Yahweh’s appointed distinctions and timetable; later symbolism of leaven as corruption is useful where Scripture supports it, but should not replace the literal command.</w:t>
      </w:r>
    </w:p>
    <w:p>
      <w:pPr>
        <w:pStyle w:val="Heading2"/>
      </w:pPr>
      <w:r>
        <w:t>Exodus 23:19 — firstfruits and the kid in its mother’s milk</w:t>
      </w:r>
    </w:p>
    <w:p>
      <w:pPr/>
      <w:r>
        <w:rPr>
          <w:i w:val="0"/>
        </w:rPr>
        <w:t>The first of the firstfruits belongs in Yahweh’s house. The prohibition against boiling a kid in its mother’s milk is repeated in Exodus 34:26 and Deuteronomy 14:21.</w:t>
      </w:r>
    </w:p>
    <w:p>
      <w:pPr/>
      <w:r>
        <w:rPr>
          <w:i w:val="0"/>
        </w:rPr>
        <w:t>Its precise rationale is not explained in Scripture. A Canaanite fertility-ritual background has often been proposed, but the archaeological evidence is not strong enough to treat that explanation as certain. The safest exposition retains the command’s separation and moral incongruity without inventing a ritual.</w:t>
      </w:r>
    </w:p>
    <w:p>
      <w:pPr>
        <w:pStyle w:val="Heading1"/>
      </w:pPr>
      <w:r>
        <w:t>THE ANGEL AND THE LAND — EXODUS 23:20–33</w:t>
      </w:r>
    </w:p>
    <w:p>
      <w:pPr>
        <w:pStyle w:val="Heading2"/>
      </w:pPr>
      <w:r>
        <w:t>Exodus 23:20–21 — “My name is in him”</w:t>
      </w:r>
    </w:p>
    <w:p>
      <w:pPr/>
      <w:r>
        <w:rPr>
          <w:i w:val="0"/>
        </w:rPr>
        <w:t>Yahweh sends a mal’akh, Angel/messenger, to guard Israel and bring them to the prepared place. Israel must obey him because Yahweh says, “my name is in him.” The Angel therefore bears delegated Divine authority and representation without being the unseen Father Himself.</w:t>
      </w:r>
    </w:p>
    <w:p>
      <w:pPr/>
      <w:r>
        <w:rPr>
          <w:i w:val="0"/>
        </w:rPr>
        <w:t>The text does not name the Angel, so later attempts to identify him with a specific named angel should remain proposals.</w:t>
      </w:r>
    </w:p>
    <w:p>
      <w:pPr>
        <w:pStyle w:val="Heading2"/>
      </w:pPr>
      <w:r>
        <w:t>Exodus 23:22–26 — obedience, conquest and covenant blessing</w:t>
      </w:r>
    </w:p>
    <w:p>
      <w:pPr/>
      <w:r>
        <w:rPr>
          <w:i w:val="0"/>
        </w:rPr>
        <w:t>If Israel obeys, Yahweh opposes their enemies and the Angel brings them among the Canaanite peoples. Israel must destroy idolatrous worship rather than imitate it.</w:t>
      </w:r>
    </w:p>
    <w:p>
      <w:pPr/>
      <w:r>
        <w:rPr>
          <w:i w:val="0"/>
        </w:rPr>
        <w:t>Bread, water, health, fertility and fullness of days are national covenant blessings conditioned upon obedience. They should not be converted into an unconditional promise that every faithful individual will never become sick or childless.</w:t>
      </w:r>
    </w:p>
    <w:p>
      <w:pPr>
        <w:pStyle w:val="Heading2"/>
      </w:pPr>
      <w:r>
        <w:t>Exodus 23:27–30 — fear, hornet and gradual possession</w:t>
      </w:r>
    </w:p>
    <w:p>
      <w:pPr/>
      <w:r>
        <w:rPr>
          <w:i w:val="0"/>
        </w:rPr>
        <w:t>Yahweh will send His fear before Israel and the tsir‘ah, traditionally “hornet,” before them. Joshua 24:12 also speaks of the hornet driving out enemies. Whether the term is literal insect plague, terror imagery or another Divine instrument is uncertain.</w:t>
      </w:r>
    </w:p>
    <w:p>
      <w:pPr/>
      <w:r>
        <w:rPr>
          <w:i w:val="0"/>
        </w:rPr>
        <w:t>The nations are expelled “little and little,” not all in one year, so the land does not become desolate and wild animals multiply. Divine promise works through a wise rate of occupation suited to Israel’s capacity.</w:t>
      </w:r>
    </w:p>
    <w:p>
      <w:pPr>
        <w:pStyle w:val="Heading2"/>
      </w:pPr>
      <w:r>
        <w:t>Exodus 23:31–33 — boundaries and the final warning</w:t>
      </w:r>
    </w:p>
    <w:p>
      <w:pPr/>
      <w:r>
        <w:rPr>
          <w:i w:val="0"/>
        </w:rPr>
        <w:t>The promised extent runs from Yam Suph to the sea of the Philistines and from the wilderness to “the River,” naturally the Euphrates in wider promise language. Israel is to make no covenant with the land’s gods or preserve idolatry as a snare.</w:t>
      </w:r>
    </w:p>
    <w:p>
      <w:pPr>
        <w:pStyle w:val="Heading1"/>
      </w:pPr>
      <w:r>
        <w:t>PRINCIPAL THEMES</w:t>
      </w:r>
    </w:p>
    <w:p>
      <w:pPr>
        <w:ind w:left="259" w:hanging="202"/>
      </w:pPr>
      <w:r>
        <w:rPr>
          <w:b/>
        </w:rPr>
        <w:t xml:space="preserve">• </w:t>
      </w:r>
      <w:r>
        <w:t>Truth is not determined by rumour or majority pressure.</w:t>
      </w:r>
    </w:p>
    <w:p>
      <w:pPr>
        <w:ind w:left="259" w:hanging="202"/>
      </w:pPr>
      <w:r>
        <w:rPr>
          <w:b/>
        </w:rPr>
        <w:t xml:space="preserve">• </w:t>
      </w:r>
      <w:r>
        <w:t>Justice must be impartial toward both poor and powerful.</w:t>
      </w:r>
    </w:p>
    <w:p>
      <w:pPr>
        <w:ind w:left="259" w:hanging="202"/>
      </w:pPr>
      <w:r>
        <w:rPr>
          <w:b/>
        </w:rPr>
        <w:t xml:space="preserve">• </w:t>
      </w:r>
      <w:r>
        <w:t>Love of an enemy is demonstrated in practical help.</w:t>
      </w:r>
    </w:p>
    <w:p>
      <w:pPr>
        <w:ind w:left="259" w:hanging="202"/>
      </w:pPr>
      <w:r>
        <w:rPr>
          <w:b/>
        </w:rPr>
        <w:t xml:space="preserve">• </w:t>
      </w:r>
      <w:r>
        <w:t>Sabbath principles extend mercy to land, servants, strangers and animals.</w:t>
      </w:r>
    </w:p>
    <w:p>
      <w:pPr>
        <w:ind w:left="259" w:hanging="202"/>
      </w:pPr>
      <w:r>
        <w:rPr>
          <w:b/>
        </w:rPr>
        <w:t xml:space="preserve">• </w:t>
      </w:r>
      <w:r>
        <w:t>Israel’s feasts unite redemption memory, firstfruits and completed harvest.</w:t>
      </w:r>
    </w:p>
    <w:p>
      <w:pPr>
        <w:ind w:left="259" w:hanging="202"/>
      </w:pPr>
      <w:r>
        <w:rPr>
          <w:b/>
        </w:rPr>
        <w:t xml:space="preserve">• </w:t>
      </w:r>
      <w:r>
        <w:t>Unexplained ritual prohibitions should not be forced into speculative pagan reconstructions.</w:t>
      </w:r>
    </w:p>
    <w:p>
      <w:pPr>
        <w:ind w:left="259" w:hanging="202"/>
      </w:pPr>
      <w:r>
        <w:rPr>
          <w:b/>
        </w:rPr>
        <w:t xml:space="preserve">• </w:t>
      </w:r>
      <w:r>
        <w:t>Yahweh’s Angel can bear His Name and authority by representation.</w:t>
      </w:r>
    </w:p>
    <w:p>
      <w:pPr>
        <w:ind w:left="259" w:hanging="202"/>
      </w:pPr>
      <w:r>
        <w:rPr>
          <w:b/>
        </w:rPr>
        <w:t xml:space="preserve">• </w:t>
      </w:r>
      <w:r>
        <w:t>Conquest is promised yet intentionally progressive: “little and little.”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23:1</w:t>
            </w:r>
          </w:p>
        </w:tc>
        <w:tc>
          <w:tcPr>
            <w:tcW w:type="dxa" w:w="3552"/>
            <w:vAlign w:val="top"/>
          </w:tcPr>
          <w:p>
            <w:pPr>
              <w:spacing w:after="0"/>
            </w:pPr>
            <w:r>
              <w:rPr>
                <w:rFonts w:ascii="Times New Roman" w:hAnsi="Times New Roman"/>
                <w:sz w:val="14"/>
              </w:rPr>
              <w:t>false report</w:t>
            </w:r>
          </w:p>
        </w:tc>
        <w:tc>
          <w:tcPr>
            <w:tcW w:type="dxa" w:w="3552"/>
            <w:vAlign w:val="top"/>
          </w:tcPr>
          <w:p>
            <w:pPr>
              <w:spacing w:after="0"/>
            </w:pPr>
            <w:r>
              <w:rPr>
                <w:rFonts w:ascii="Times New Roman" w:hAnsi="Times New Roman"/>
                <w:sz w:val="14"/>
              </w:rPr>
              <w:t>Do not carry/raise slander or join malicious testimony.</w:t>
            </w:r>
          </w:p>
        </w:tc>
      </w:tr>
      <w:tr>
        <w:tc>
          <w:tcPr>
            <w:tcW w:type="dxa" w:w="3552"/>
            <w:vAlign w:val="top"/>
          </w:tcPr>
          <w:p>
            <w:pPr>
              <w:spacing w:after="0"/>
            </w:pPr>
            <w:r>
              <w:rPr>
                <w:rFonts w:ascii="Times New Roman" w:hAnsi="Times New Roman"/>
                <w:sz w:val="14"/>
              </w:rPr>
              <w:t>Ex. 23:2</w:t>
            </w:r>
          </w:p>
        </w:tc>
        <w:tc>
          <w:tcPr>
            <w:tcW w:type="dxa" w:w="3552"/>
            <w:vAlign w:val="top"/>
          </w:tcPr>
          <w:p>
            <w:pPr>
              <w:spacing w:after="0"/>
            </w:pPr>
            <w:r>
              <w:rPr>
                <w:rFonts w:ascii="Times New Roman" w:hAnsi="Times New Roman"/>
                <w:sz w:val="14"/>
              </w:rPr>
              <w:t>crowd and judgment</w:t>
            </w:r>
          </w:p>
        </w:tc>
        <w:tc>
          <w:tcPr>
            <w:tcW w:type="dxa" w:w="3552"/>
            <w:vAlign w:val="top"/>
          </w:tcPr>
          <w:p>
            <w:pPr>
              <w:spacing w:after="0"/>
            </w:pPr>
            <w:r>
              <w:rPr>
                <w:rFonts w:ascii="Times New Roman" w:hAnsi="Times New Roman"/>
                <w:sz w:val="14"/>
              </w:rPr>
              <w:t>Compressed Hebrew; clear warning against majority-driven injustice.</w:t>
            </w:r>
          </w:p>
        </w:tc>
      </w:tr>
      <w:tr>
        <w:tc>
          <w:tcPr>
            <w:tcW w:type="dxa" w:w="3552"/>
            <w:vAlign w:val="top"/>
          </w:tcPr>
          <w:p>
            <w:pPr>
              <w:spacing w:after="0"/>
            </w:pPr>
            <w:r>
              <w:rPr>
                <w:rFonts w:ascii="Times New Roman" w:hAnsi="Times New Roman"/>
                <w:sz w:val="14"/>
              </w:rPr>
              <w:t>Ex. 23:3,6</w:t>
            </w:r>
          </w:p>
        </w:tc>
        <w:tc>
          <w:tcPr>
            <w:tcW w:type="dxa" w:w="3552"/>
            <w:vAlign w:val="top"/>
          </w:tcPr>
          <w:p>
            <w:pPr>
              <w:spacing w:after="0"/>
            </w:pPr>
            <w:r>
              <w:rPr>
                <w:rFonts w:ascii="Times New Roman" w:hAnsi="Times New Roman"/>
                <w:sz w:val="14"/>
              </w:rPr>
              <w:t>poor person</w:t>
            </w:r>
          </w:p>
        </w:tc>
        <w:tc>
          <w:tcPr>
            <w:tcW w:type="dxa" w:w="3552"/>
            <w:vAlign w:val="top"/>
          </w:tcPr>
          <w:p>
            <w:pPr>
              <w:spacing w:after="0"/>
            </w:pPr>
            <w:r>
              <w:rPr>
                <w:rFonts w:ascii="Times New Roman" w:hAnsi="Times New Roman"/>
                <w:sz w:val="14"/>
              </w:rPr>
              <w:t>Protection does not mean biased verdicts.</w:t>
            </w:r>
          </w:p>
        </w:tc>
      </w:tr>
      <w:tr>
        <w:tc>
          <w:tcPr>
            <w:tcW w:type="dxa" w:w="3552"/>
            <w:vAlign w:val="top"/>
          </w:tcPr>
          <w:p>
            <w:pPr>
              <w:spacing w:after="0"/>
            </w:pPr>
            <w:r>
              <w:rPr>
                <w:rFonts w:ascii="Times New Roman" w:hAnsi="Times New Roman"/>
                <w:sz w:val="14"/>
              </w:rPr>
              <w:t>Ex. 23:5</w:t>
            </w:r>
          </w:p>
        </w:tc>
        <w:tc>
          <w:tcPr>
            <w:tcW w:type="dxa" w:w="3552"/>
            <w:vAlign w:val="top"/>
          </w:tcPr>
          <w:p>
            <w:pPr>
              <w:spacing w:after="0"/>
            </w:pPr>
            <w:r>
              <w:rPr>
                <w:rFonts w:ascii="Times New Roman" w:hAnsi="Times New Roman"/>
                <w:sz w:val="14"/>
              </w:rPr>
              <w:t>‘azab wordplay</w:t>
            </w:r>
          </w:p>
        </w:tc>
        <w:tc>
          <w:tcPr>
            <w:tcW w:type="dxa" w:w="3552"/>
            <w:vAlign w:val="top"/>
          </w:tcPr>
          <w:p>
            <w:pPr>
              <w:spacing w:after="0"/>
            </w:pPr>
            <w:r>
              <w:rPr>
                <w:rFonts w:ascii="Times New Roman" w:hAnsi="Times New Roman"/>
                <w:sz w:val="14"/>
              </w:rPr>
              <w:t>Do not abandon enemy’s burdened animal; help is required.</w:t>
            </w:r>
          </w:p>
        </w:tc>
      </w:tr>
      <w:tr>
        <w:tc>
          <w:tcPr>
            <w:tcW w:type="dxa" w:w="3552"/>
            <w:vAlign w:val="top"/>
          </w:tcPr>
          <w:p>
            <w:pPr>
              <w:spacing w:after="0"/>
            </w:pPr>
            <w:r>
              <w:rPr>
                <w:rFonts w:ascii="Times New Roman" w:hAnsi="Times New Roman"/>
                <w:sz w:val="14"/>
              </w:rPr>
              <w:t>Matt. 5:44</w:t>
            </w:r>
          </w:p>
        </w:tc>
        <w:tc>
          <w:tcPr>
            <w:tcW w:type="dxa" w:w="3552"/>
            <w:vAlign w:val="top"/>
          </w:tcPr>
          <w:p>
            <w:pPr>
              <w:spacing w:after="0"/>
            </w:pPr>
            <w:r>
              <w:rPr>
                <w:rFonts w:ascii="Times New Roman" w:hAnsi="Times New Roman"/>
                <w:sz w:val="14"/>
              </w:rPr>
              <w:t>love enemies</w:t>
            </w:r>
          </w:p>
        </w:tc>
        <w:tc>
          <w:tcPr>
            <w:tcW w:type="dxa" w:w="3552"/>
            <w:vAlign w:val="top"/>
          </w:tcPr>
          <w:p>
            <w:pPr>
              <w:spacing w:after="0"/>
            </w:pPr>
            <w:r>
              <w:rPr>
                <w:rFonts w:ascii="Times New Roman" w:hAnsi="Times New Roman"/>
                <w:sz w:val="14"/>
              </w:rPr>
              <w:t>Christ carries the neighbourly principle inward and further.</w:t>
            </w:r>
          </w:p>
        </w:tc>
      </w:tr>
      <w:tr>
        <w:tc>
          <w:tcPr>
            <w:tcW w:type="dxa" w:w="3552"/>
            <w:vAlign w:val="top"/>
          </w:tcPr>
          <w:p>
            <w:pPr>
              <w:spacing w:after="0"/>
            </w:pPr>
            <w:r>
              <w:rPr>
                <w:rFonts w:ascii="Times New Roman" w:hAnsi="Times New Roman"/>
                <w:sz w:val="14"/>
              </w:rPr>
              <w:t>Ex. 23:8</w:t>
            </w:r>
          </w:p>
        </w:tc>
        <w:tc>
          <w:tcPr>
            <w:tcW w:type="dxa" w:w="3552"/>
            <w:vAlign w:val="top"/>
          </w:tcPr>
          <w:p>
            <w:pPr>
              <w:spacing w:after="0"/>
            </w:pPr>
            <w:r>
              <w:rPr>
                <w:rFonts w:ascii="Times New Roman" w:hAnsi="Times New Roman"/>
                <w:sz w:val="14"/>
              </w:rPr>
              <w:t>bribe</w:t>
            </w:r>
          </w:p>
        </w:tc>
        <w:tc>
          <w:tcPr>
            <w:tcW w:type="dxa" w:w="3552"/>
            <w:vAlign w:val="top"/>
          </w:tcPr>
          <w:p>
            <w:pPr>
              <w:spacing w:after="0"/>
            </w:pPr>
            <w:r>
              <w:rPr>
                <w:rFonts w:ascii="Times New Roman" w:hAnsi="Times New Roman"/>
                <w:sz w:val="14"/>
              </w:rPr>
              <w:t>Bribery blinds perception and distorts righteous judgment.</w:t>
            </w:r>
          </w:p>
        </w:tc>
      </w:tr>
      <w:tr>
        <w:tc>
          <w:tcPr>
            <w:tcW w:type="dxa" w:w="3552"/>
            <w:vAlign w:val="top"/>
          </w:tcPr>
          <w:p>
            <w:pPr>
              <w:spacing w:after="0"/>
            </w:pPr>
            <w:r>
              <w:rPr>
                <w:rFonts w:ascii="Times New Roman" w:hAnsi="Times New Roman"/>
                <w:sz w:val="14"/>
              </w:rPr>
              <w:t>Ex. 23:9</w:t>
            </w:r>
          </w:p>
        </w:tc>
        <w:tc>
          <w:tcPr>
            <w:tcW w:type="dxa" w:w="3552"/>
            <w:vAlign w:val="top"/>
          </w:tcPr>
          <w:p>
            <w:pPr>
              <w:spacing w:after="0"/>
            </w:pPr>
            <w:r>
              <w:rPr>
                <w:rFonts w:ascii="Times New Roman" w:hAnsi="Times New Roman"/>
                <w:sz w:val="14"/>
              </w:rPr>
              <w:t>nephesh of stranger</w:t>
            </w:r>
          </w:p>
        </w:tc>
        <w:tc>
          <w:tcPr>
            <w:tcW w:type="dxa" w:w="3552"/>
            <w:vAlign w:val="top"/>
          </w:tcPr>
          <w:p>
            <w:pPr>
              <w:spacing w:after="0"/>
            </w:pPr>
            <w:r>
              <w:rPr>
                <w:rFonts w:ascii="Times New Roman" w:hAnsi="Times New Roman"/>
                <w:sz w:val="14"/>
              </w:rPr>
              <w:t>Experiential empathy from Israel’s own sojourning.</w:t>
            </w:r>
          </w:p>
        </w:tc>
      </w:tr>
      <w:tr>
        <w:tc>
          <w:tcPr>
            <w:tcW w:type="dxa" w:w="3552"/>
            <w:vAlign w:val="top"/>
          </w:tcPr>
          <w:p>
            <w:pPr>
              <w:spacing w:after="0"/>
            </w:pPr>
            <w:r>
              <w:rPr>
                <w:rFonts w:ascii="Times New Roman" w:hAnsi="Times New Roman"/>
                <w:sz w:val="14"/>
              </w:rPr>
              <w:t>Ex. 23:10–12</w:t>
            </w:r>
          </w:p>
        </w:tc>
        <w:tc>
          <w:tcPr>
            <w:tcW w:type="dxa" w:w="3552"/>
            <w:vAlign w:val="top"/>
          </w:tcPr>
          <w:p>
            <w:pPr>
              <w:spacing w:after="0"/>
            </w:pPr>
            <w:r>
              <w:rPr>
                <w:rFonts w:ascii="Times New Roman" w:hAnsi="Times New Roman"/>
                <w:sz w:val="14"/>
              </w:rPr>
              <w:t>sabbatical rhythms</w:t>
            </w:r>
          </w:p>
        </w:tc>
        <w:tc>
          <w:tcPr>
            <w:tcW w:type="dxa" w:w="3552"/>
            <w:vAlign w:val="top"/>
          </w:tcPr>
          <w:p>
            <w:pPr>
              <w:spacing w:after="0"/>
            </w:pPr>
            <w:r>
              <w:rPr>
                <w:rFonts w:ascii="Times New Roman" w:hAnsi="Times New Roman"/>
                <w:sz w:val="14"/>
              </w:rPr>
              <w:t>Land, poor, animals, servants and strangers share rest/provision.</w:t>
            </w:r>
          </w:p>
        </w:tc>
      </w:tr>
      <w:tr>
        <w:tc>
          <w:tcPr>
            <w:tcW w:type="dxa" w:w="3552"/>
            <w:vAlign w:val="top"/>
          </w:tcPr>
          <w:p>
            <w:pPr>
              <w:spacing w:after="0"/>
            </w:pPr>
            <w:r>
              <w:rPr>
                <w:rFonts w:ascii="Times New Roman" w:hAnsi="Times New Roman"/>
                <w:sz w:val="14"/>
              </w:rPr>
              <w:t>Ex. 23:13</w:t>
            </w:r>
          </w:p>
        </w:tc>
        <w:tc>
          <w:tcPr>
            <w:tcW w:type="dxa" w:w="3552"/>
            <w:vAlign w:val="top"/>
          </w:tcPr>
          <w:p>
            <w:pPr>
              <w:spacing w:after="0"/>
            </w:pPr>
            <w:r>
              <w:rPr>
                <w:rFonts w:ascii="Times New Roman" w:hAnsi="Times New Roman"/>
                <w:sz w:val="14"/>
              </w:rPr>
              <w:t>names of other gods</w:t>
            </w:r>
          </w:p>
        </w:tc>
        <w:tc>
          <w:tcPr>
            <w:tcW w:type="dxa" w:w="3552"/>
            <w:vAlign w:val="top"/>
          </w:tcPr>
          <w:p>
            <w:pPr>
              <w:spacing w:after="0"/>
            </w:pPr>
            <w:r>
              <w:rPr>
                <w:rFonts w:ascii="Times New Roman" w:hAnsi="Times New Roman"/>
                <w:sz w:val="14"/>
              </w:rPr>
              <w:t>Prohibits honour/invocation; not all historical utterance of names.</w:t>
            </w:r>
          </w:p>
        </w:tc>
      </w:tr>
      <w:tr>
        <w:tc>
          <w:tcPr>
            <w:tcW w:type="dxa" w:w="3552"/>
            <w:vAlign w:val="top"/>
          </w:tcPr>
          <w:p>
            <w:pPr>
              <w:spacing w:after="0"/>
            </w:pPr>
            <w:r>
              <w:rPr>
                <w:rFonts w:ascii="Times New Roman" w:hAnsi="Times New Roman"/>
                <w:sz w:val="14"/>
              </w:rPr>
              <w:t>Ex. 23:14–17</w:t>
            </w:r>
          </w:p>
        </w:tc>
        <w:tc>
          <w:tcPr>
            <w:tcW w:type="dxa" w:w="3552"/>
            <w:vAlign w:val="top"/>
          </w:tcPr>
          <w:p>
            <w:pPr>
              <w:spacing w:after="0"/>
            </w:pPr>
            <w:r>
              <w:rPr>
                <w:rFonts w:ascii="Times New Roman" w:hAnsi="Times New Roman"/>
                <w:sz w:val="14"/>
              </w:rPr>
              <w:t>three feasts</w:t>
            </w:r>
          </w:p>
        </w:tc>
        <w:tc>
          <w:tcPr>
            <w:tcW w:type="dxa" w:w="3552"/>
            <w:vAlign w:val="top"/>
          </w:tcPr>
          <w:p>
            <w:pPr>
              <w:spacing w:after="0"/>
            </w:pPr>
            <w:r>
              <w:rPr>
                <w:rFonts w:ascii="Times New Roman" w:hAnsi="Times New Roman"/>
                <w:sz w:val="14"/>
              </w:rPr>
              <w:t>Unleavened Bread, Harvest/Weeks, Ingathering/Tabernacles.</w:t>
            </w:r>
          </w:p>
        </w:tc>
      </w:tr>
      <w:tr>
        <w:tc>
          <w:tcPr>
            <w:tcW w:type="dxa" w:w="3552"/>
            <w:vAlign w:val="top"/>
          </w:tcPr>
          <w:p>
            <w:pPr>
              <w:spacing w:after="0"/>
            </w:pPr>
            <w:r>
              <w:rPr>
                <w:rFonts w:ascii="Times New Roman" w:hAnsi="Times New Roman"/>
                <w:sz w:val="14"/>
              </w:rPr>
              <w:t>Ex. 23:19</w:t>
            </w:r>
          </w:p>
        </w:tc>
        <w:tc>
          <w:tcPr>
            <w:tcW w:type="dxa" w:w="3552"/>
            <w:vAlign w:val="top"/>
          </w:tcPr>
          <w:p>
            <w:pPr>
              <w:spacing w:after="0"/>
            </w:pPr>
            <w:r>
              <w:rPr>
                <w:rFonts w:ascii="Times New Roman" w:hAnsi="Times New Roman"/>
                <w:sz w:val="14"/>
              </w:rPr>
              <w:t>kid in mother’s milk</w:t>
            </w:r>
          </w:p>
        </w:tc>
        <w:tc>
          <w:tcPr>
            <w:tcW w:type="dxa" w:w="3552"/>
            <w:vAlign w:val="top"/>
          </w:tcPr>
          <w:p>
            <w:pPr>
              <w:spacing w:after="0"/>
            </w:pPr>
            <w:r>
              <w:rPr>
                <w:rFonts w:ascii="Times New Roman" w:hAnsi="Times New Roman"/>
                <w:sz w:val="14"/>
              </w:rPr>
              <w:t>Reason not stated; pagan-ritual hypothesis should remain uncertain.</w:t>
            </w:r>
          </w:p>
        </w:tc>
      </w:tr>
      <w:tr>
        <w:tc>
          <w:tcPr>
            <w:tcW w:type="dxa" w:w="3552"/>
            <w:vAlign w:val="top"/>
          </w:tcPr>
          <w:p>
            <w:pPr>
              <w:spacing w:after="0"/>
            </w:pPr>
            <w:r>
              <w:rPr>
                <w:rFonts w:ascii="Times New Roman" w:hAnsi="Times New Roman"/>
                <w:sz w:val="14"/>
              </w:rPr>
              <w:t>Ex. 23:20</w:t>
            </w:r>
          </w:p>
        </w:tc>
        <w:tc>
          <w:tcPr>
            <w:tcW w:type="dxa" w:w="3552"/>
            <w:vAlign w:val="top"/>
          </w:tcPr>
          <w:p>
            <w:pPr>
              <w:spacing w:after="0"/>
            </w:pPr>
            <w:r>
              <w:rPr>
                <w:rFonts w:ascii="Times New Roman" w:hAnsi="Times New Roman"/>
                <w:sz w:val="14"/>
              </w:rPr>
              <w:t>mal’akh</w:t>
            </w:r>
          </w:p>
        </w:tc>
        <w:tc>
          <w:tcPr>
            <w:tcW w:type="dxa" w:w="3552"/>
            <w:vAlign w:val="top"/>
          </w:tcPr>
          <w:p>
            <w:pPr>
              <w:spacing w:after="0"/>
            </w:pPr>
            <w:r>
              <w:rPr>
                <w:rFonts w:ascii="Times New Roman" w:hAnsi="Times New Roman"/>
                <w:sz w:val="14"/>
              </w:rPr>
              <w:t>Angel/messenger sent as Yahweh’s representative.</w:t>
            </w:r>
          </w:p>
        </w:tc>
      </w:tr>
      <w:tr>
        <w:tc>
          <w:tcPr>
            <w:tcW w:type="dxa" w:w="3552"/>
            <w:vAlign w:val="top"/>
          </w:tcPr>
          <w:p>
            <w:pPr>
              <w:spacing w:after="0"/>
            </w:pPr>
            <w:r>
              <w:rPr>
                <w:rFonts w:ascii="Times New Roman" w:hAnsi="Times New Roman"/>
                <w:sz w:val="14"/>
              </w:rPr>
              <w:t>Ex. 23:21</w:t>
            </w:r>
          </w:p>
        </w:tc>
        <w:tc>
          <w:tcPr>
            <w:tcW w:type="dxa" w:w="3552"/>
            <w:vAlign w:val="top"/>
          </w:tcPr>
          <w:p>
            <w:pPr>
              <w:spacing w:after="0"/>
            </w:pPr>
            <w:r>
              <w:rPr>
                <w:rFonts w:ascii="Times New Roman" w:hAnsi="Times New Roman"/>
                <w:sz w:val="14"/>
              </w:rPr>
              <w:t>“my name is in him”</w:t>
            </w:r>
          </w:p>
        </w:tc>
        <w:tc>
          <w:tcPr>
            <w:tcW w:type="dxa" w:w="3552"/>
            <w:vAlign w:val="top"/>
          </w:tcPr>
          <w:p>
            <w:pPr>
              <w:spacing w:after="0"/>
            </w:pPr>
            <w:r>
              <w:rPr>
                <w:rFonts w:ascii="Times New Roman" w:hAnsi="Times New Roman"/>
                <w:sz w:val="14"/>
              </w:rPr>
              <w:t>Delegated Divine authority; not identity with the Father’s essence.</w:t>
            </w:r>
          </w:p>
        </w:tc>
      </w:tr>
      <w:tr>
        <w:tc>
          <w:tcPr>
            <w:tcW w:type="dxa" w:w="3552"/>
            <w:vAlign w:val="top"/>
          </w:tcPr>
          <w:p>
            <w:pPr>
              <w:spacing w:after="0"/>
            </w:pPr>
            <w:r>
              <w:rPr>
                <w:rFonts w:ascii="Times New Roman" w:hAnsi="Times New Roman"/>
                <w:sz w:val="14"/>
              </w:rPr>
              <w:t>Ex. 23:25–26</w:t>
            </w:r>
          </w:p>
        </w:tc>
        <w:tc>
          <w:tcPr>
            <w:tcW w:type="dxa" w:w="3552"/>
            <w:vAlign w:val="top"/>
          </w:tcPr>
          <w:p>
            <w:pPr>
              <w:spacing w:after="0"/>
            </w:pPr>
            <w:r>
              <w:rPr>
                <w:rFonts w:ascii="Times New Roman" w:hAnsi="Times New Roman"/>
                <w:sz w:val="14"/>
              </w:rPr>
              <w:t>national covenant blessings</w:t>
            </w:r>
          </w:p>
        </w:tc>
        <w:tc>
          <w:tcPr>
            <w:tcW w:type="dxa" w:w="3552"/>
            <w:vAlign w:val="top"/>
          </w:tcPr>
          <w:p>
            <w:pPr>
              <w:spacing w:after="0"/>
            </w:pPr>
            <w:r>
              <w:rPr>
                <w:rFonts w:ascii="Times New Roman" w:hAnsi="Times New Roman"/>
                <w:sz w:val="14"/>
              </w:rPr>
              <w:t>Conditional covenant promises, not universal individual health guarantee.</w:t>
            </w:r>
          </w:p>
        </w:tc>
      </w:tr>
      <w:tr>
        <w:tc>
          <w:tcPr>
            <w:tcW w:type="dxa" w:w="3552"/>
            <w:vAlign w:val="top"/>
          </w:tcPr>
          <w:p>
            <w:pPr>
              <w:spacing w:after="0"/>
            </w:pPr>
            <w:r>
              <w:rPr>
                <w:rFonts w:ascii="Times New Roman" w:hAnsi="Times New Roman"/>
                <w:sz w:val="14"/>
              </w:rPr>
              <w:t>Ex. 23:28</w:t>
            </w:r>
          </w:p>
        </w:tc>
        <w:tc>
          <w:tcPr>
            <w:tcW w:type="dxa" w:w="3552"/>
            <w:vAlign w:val="top"/>
          </w:tcPr>
          <w:p>
            <w:pPr>
              <w:spacing w:after="0"/>
            </w:pPr>
            <w:r>
              <w:rPr>
                <w:rFonts w:ascii="Times New Roman" w:hAnsi="Times New Roman"/>
                <w:sz w:val="14"/>
              </w:rPr>
              <w:t>tsir‘ah / hornet</w:t>
            </w:r>
          </w:p>
        </w:tc>
        <w:tc>
          <w:tcPr>
            <w:tcW w:type="dxa" w:w="3552"/>
            <w:vAlign w:val="top"/>
          </w:tcPr>
          <w:p>
            <w:pPr>
              <w:spacing w:after="0"/>
            </w:pPr>
            <w:r>
              <w:rPr>
                <w:rFonts w:ascii="Times New Roman" w:hAnsi="Times New Roman"/>
                <w:sz w:val="14"/>
              </w:rPr>
              <w:t>Josh. 24:12 confirms term; literal/metaphorical mechanism uncertain.</w:t>
            </w:r>
          </w:p>
        </w:tc>
      </w:tr>
      <w:tr>
        <w:tc>
          <w:tcPr>
            <w:tcW w:type="dxa" w:w="3552"/>
            <w:vAlign w:val="top"/>
          </w:tcPr>
          <w:p>
            <w:pPr>
              <w:spacing w:after="0"/>
            </w:pPr>
            <w:r>
              <w:rPr>
                <w:rFonts w:ascii="Times New Roman" w:hAnsi="Times New Roman"/>
                <w:sz w:val="14"/>
              </w:rPr>
              <w:t>Ex. 23:29–30</w:t>
            </w:r>
          </w:p>
        </w:tc>
        <w:tc>
          <w:tcPr>
            <w:tcW w:type="dxa" w:w="3552"/>
            <w:vAlign w:val="top"/>
          </w:tcPr>
          <w:p>
            <w:pPr>
              <w:spacing w:after="0"/>
            </w:pPr>
            <w:r>
              <w:rPr>
                <w:rFonts w:ascii="Times New Roman" w:hAnsi="Times New Roman"/>
                <w:sz w:val="14"/>
              </w:rPr>
              <w:t>little and little</w:t>
            </w:r>
          </w:p>
        </w:tc>
        <w:tc>
          <w:tcPr>
            <w:tcW w:type="dxa" w:w="3552"/>
            <w:vAlign w:val="top"/>
          </w:tcPr>
          <w:p>
            <w:pPr>
              <w:spacing w:after="0"/>
            </w:pPr>
            <w:r>
              <w:rPr>
                <w:rFonts w:ascii="Times New Roman" w:hAnsi="Times New Roman"/>
                <w:sz w:val="14"/>
              </w:rPr>
              <w:t>Gradual conquest explicitly protects land from desolation.</w:t>
            </w:r>
          </w:p>
        </w:tc>
      </w:tr>
      <w:tr>
        <w:tc>
          <w:tcPr>
            <w:tcW w:type="dxa" w:w="3552"/>
            <w:vAlign w:val="top"/>
          </w:tcPr>
          <w:p>
            <w:pPr>
              <w:spacing w:after="0"/>
            </w:pPr>
            <w:r>
              <w:rPr>
                <w:rFonts w:ascii="Times New Roman" w:hAnsi="Times New Roman"/>
                <w:sz w:val="14"/>
              </w:rPr>
              <w:t>Ex. 23:31</w:t>
            </w:r>
          </w:p>
        </w:tc>
        <w:tc>
          <w:tcPr>
            <w:tcW w:type="dxa" w:w="3552"/>
            <w:vAlign w:val="top"/>
          </w:tcPr>
          <w:p>
            <w:pPr>
              <w:spacing w:after="0"/>
            </w:pPr>
            <w:r>
              <w:rPr>
                <w:rFonts w:ascii="Times New Roman" w:hAnsi="Times New Roman"/>
                <w:sz w:val="14"/>
              </w:rPr>
              <w:t>the River</w:t>
            </w:r>
          </w:p>
        </w:tc>
        <w:tc>
          <w:tcPr>
            <w:tcW w:type="dxa" w:w="3552"/>
            <w:vAlign w:val="top"/>
          </w:tcPr>
          <w:p>
            <w:pPr>
              <w:spacing w:after="0"/>
            </w:pPr>
            <w:r>
              <w:rPr>
                <w:rFonts w:ascii="Times New Roman" w:hAnsi="Times New Roman"/>
                <w:sz w:val="14"/>
              </w:rPr>
              <w:t>Most naturally Euphrates in larger land-promise context.</w:t>
            </w:r>
          </w:p>
        </w:tc>
      </w:tr>
    </w:tbl>
    <w:p>
      <w:pPr>
        <w:pStyle w:val="Heading1"/>
      </w:pPr>
      <w:r>
        <w:t>RESIDUAL UNCERTAINTIES</w:t>
      </w:r>
    </w:p>
    <w:p>
      <w:pPr/>
      <w:r>
        <w:rPr>
          <w:i w:val="0"/>
        </w:rPr>
        <w:t>The precise syntax of verse 2 and verse 5 is difficult, though their ethical thrust is clear. Scripture does not explain the kid-in-milk prohibition, and the popular pagan-fertility-rite explanation should remain a hypothesis. The identity and exact mode of action of the Angel and the ‘hornet’ are also not specified.</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