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24</w:t>
      </w:r>
    </w:p>
    <w:p>
      <w:pPr>
        <w:pStyle w:val="Subtitle"/>
      </w:pPr>
      <w:r>
        <w:t>COVENANT RATIFIED • THE BOOK READ • BLOOD OF THE COVENANT • FELLOWSHIP BEFORE GOD • MOSES ENTERS THE CLOUD • FORTY DAYS</w:t>
      </w:r>
    </w:p>
    <w:p>
      <w:pPr/>
      <w:r>
        <w:rPr>
          <w:i/>
        </w:rPr>
        <w:t>H. P. Mansfield Bible notes — checked and arranged in verse-by-verse Expositor style</w:t>
      </w:r>
    </w:p>
    <w:p>
      <w:pPr/>
      <w:r>
        <w:rPr>
          <w:i w:val="0"/>
        </w:rPr>
        <w:t>Source: HPB 02-Gen42-Lev11.pdf, principally Exodus 24 photographed pages 53–55</w:t>
      </w:r>
    </w:p>
    <w:p>
      <w:pPr>
        <w:pStyle w:val="Heading1"/>
      </w:pPr>
      <w:r>
        <w:t>CHAPTER OVERVIEW</w:t>
      </w:r>
    </w:p>
    <w:p>
      <w:pPr/>
      <w:r>
        <w:rPr>
          <w:i w:val="0"/>
        </w:rPr>
        <w:t>Exodus 24 formally ratifies the covenant announced and explained in chapters 19–23. Word, sacrifice, blood, public assent and fellowship belong together: Israel hears the covenant, accepts it, and is bound to it through sacrificial blood.</w:t>
      </w:r>
    </w:p>
    <w:p>
      <w:pPr/>
      <w:r>
        <w:rPr>
          <w:i w:val="0"/>
        </w:rPr>
        <w:t>The chapter then returns to ordered access. Representatives of Israel ascend and experience a Divine manifestation with covenant fellowship, while Moses alone is called higher into the cloud to receive the stone tablets and the sanctuary instructions.</w:t>
      </w:r>
    </w:p>
    <w:p>
      <w:pPr>
        <w:pStyle w:val="Heading1"/>
      </w:pPr>
      <w:r>
        <w:t>THE COVENANT ACCEPTED AND RECORDED — EXODUS 24:1–5</w:t>
      </w:r>
    </w:p>
    <w:p>
      <w:pPr>
        <w:pStyle w:val="Heading2"/>
      </w:pPr>
      <w:r>
        <w:t>Exodus 24:1–2 — graded approach</w:t>
      </w:r>
    </w:p>
    <w:p>
      <w:pPr/>
      <w:r>
        <w:rPr>
          <w:i w:val="0"/>
        </w:rPr>
        <w:t>Moses, Aaron, Nadab, Abihu and seventy elders are summoned upward, but only Moses is to approach nearest. Covenant fellowship is real, yet access remains according to Yahweh’s appointed order.</w:t>
      </w:r>
    </w:p>
    <w:p>
      <w:pPr>
        <w:pStyle w:val="Heading2"/>
      </w:pPr>
      <w:r>
        <w:t>Exodus 24:3 — first national assent</w:t>
      </w:r>
    </w:p>
    <w:p>
      <w:pPr/>
      <w:r>
        <w:rPr>
          <w:i w:val="0"/>
        </w:rPr>
        <w:t>Moses reports all Yahweh’s words and judgments, and the people answer with one voice, “All the words which Yahweh hath said will we do.” Covenant commitment rests upon known revealed terms, not vague enthusiasm.</w:t>
      </w:r>
    </w:p>
    <w:p>
      <w:pPr>
        <w:pStyle w:val="Heading2"/>
      </w:pPr>
      <w:r>
        <w:t>Exodus 24:4 — book, altar and twelve pillars</w:t>
      </w:r>
    </w:p>
    <w:p>
      <w:pPr/>
      <w:r>
        <w:rPr>
          <w:i w:val="0"/>
        </w:rPr>
        <w:t>Moses writes all Yahweh’s words, builds an altar under the mountain and erects twelve pillars corresponding to the twelve tribes. Mansfield’s reading of altar and pillars as the two covenant sides is a useful ceremonial interpretation, although the text does not explicitly label them in that terminology.</w:t>
      </w:r>
    </w:p>
    <w:p>
      <w:pPr>
        <w:pStyle w:val="Heading2"/>
      </w:pPr>
      <w:r>
        <w:t>Exodus 24:5 — young men offer sacrifices</w:t>
      </w:r>
    </w:p>
    <w:p>
      <w:pPr/>
      <w:r>
        <w:rPr>
          <w:i w:val="0"/>
        </w:rPr>
        <w:t>Young men offer burnt and peace offerings. This occurs before the formal Aaronic consecration of Exodus 28–29, so their exact priestly status is not defined. They may function as representatives under Moses’ direction; firstborn-priest theories should remain qualified.</w:t>
      </w:r>
    </w:p>
    <w:p>
      <w:pPr>
        <w:pStyle w:val="Heading1"/>
      </w:pPr>
      <w:r>
        <w:t>THE BLOOD OF THE COVENANT — EXODUS 24:6–8</w:t>
      </w:r>
    </w:p>
    <w:p>
      <w:pPr>
        <w:pStyle w:val="Heading2"/>
      </w:pPr>
      <w:r>
        <w:t>Exodus 24:6 — blood divided</w:t>
      </w:r>
    </w:p>
    <w:p>
      <w:pPr/>
      <w:r>
        <w:rPr>
          <w:i w:val="0"/>
        </w:rPr>
        <w:t>Moses puts half the blood in basins and sprinkles half on the altar. Sacrifice stands between Yahweh and Israel as the covenant is formally established.</w:t>
      </w:r>
    </w:p>
    <w:p>
      <w:pPr>
        <w:pStyle w:val="Heading2"/>
      </w:pPr>
      <w:r>
        <w:t>Exodus 24:7 — the Book read; assent deepened</w:t>
      </w:r>
    </w:p>
    <w:p>
      <w:pPr/>
      <w:r>
        <w:rPr>
          <w:i w:val="0"/>
        </w:rPr>
        <w:t>Moses reads the Book of the Covenant to the people, who now respond, “All that Yahweh hath said will we do, and be obedient.” The second pledge follows hearing the written covenant in full and therefore expresses conscious acceptance.</w:t>
      </w:r>
    </w:p>
    <w:p>
      <w:pPr>
        <w:pStyle w:val="Heading2"/>
      </w:pPr>
      <w:r>
        <w:t>Exodus 24:8 — “Behold the blood of the covenant”</w:t>
      </w:r>
    </w:p>
    <w:p>
      <w:pPr/>
      <w:r>
        <w:rPr>
          <w:i w:val="0"/>
        </w:rPr>
        <w:t>Moses sprinkles the blood on the people and declares that it is “the blood of the covenant … concerning all these words.” Blood does not cancel the words; it ratifies a relationship whose obligations have been heard and accepted.</w:t>
      </w:r>
    </w:p>
    <w:p>
      <w:pPr/>
      <w:r>
        <w:rPr>
          <w:i w:val="0"/>
        </w:rPr>
        <w:t>Hebrews 9:18–22 explicitly uses Sinai as a covenant-ratification pattern and includes additional details — blood applied to the book and people with water, scarlet wool and hyssop — not narrated in Exodus 24. These should be received as inspired expansion rather than forced into the Exodus wording as though every detail were repeated there.</w:t>
      </w:r>
    </w:p>
    <w:p>
      <w:pPr>
        <w:pStyle w:val="Heading1"/>
      </w:pPr>
      <w:r>
        <w:t>FELLOWSHIP BEFORE THE GOD OF ISRAEL — EXODUS 24:9–11</w:t>
      </w:r>
    </w:p>
    <w:p>
      <w:pPr>
        <w:pStyle w:val="Heading2"/>
      </w:pPr>
      <w:r>
        <w:t>Exodus 24:9–10 — “they saw the God of Israel”</w:t>
      </w:r>
    </w:p>
    <w:p>
      <w:pPr/>
      <w:r>
        <w:rPr>
          <w:i w:val="0"/>
        </w:rPr>
        <w:t>Moses, Aaron, Nadab, Abihu and the seventy ascend and “saw the God of Israel,” with a pavement-like appearance of sapphire beneath His feet. This must be read alongside Exodus 33:20 and John 1:18: mortal people do not behold the unveiled essence of the Father.</w:t>
      </w:r>
    </w:p>
    <w:p>
      <w:pPr/>
      <w:r>
        <w:rPr>
          <w:i w:val="0"/>
        </w:rPr>
        <w:t>The scene is therefore a mediated vision/manifestation in which Divine glory is represented in a form they can survive. The sapphire-like pavement conveys brilliant heavenly clarity; detailed gemstone symbolism remains secondary.</w:t>
      </w:r>
    </w:p>
    <w:p>
      <w:pPr>
        <w:pStyle w:val="Heading2"/>
      </w:pPr>
      <w:r>
        <w:t>Exodus 24:11 — they eat and drink before God</w:t>
      </w:r>
    </w:p>
    <w:p>
      <w:pPr/>
      <w:r>
        <w:rPr>
          <w:i w:val="0"/>
        </w:rPr>
        <w:t>Yahweh does not lay His hand upon the representatives, and they behold the Divine manifestation and eat and drink. The meal is naturally read as covenant fellowship after ratification: those accepted under the covenant share peace in the presence of the God they serve.</w:t>
      </w:r>
    </w:p>
    <w:p>
      <w:pPr>
        <w:pStyle w:val="Heading1"/>
      </w:pPr>
      <w:r>
        <w:t>MOSES CALLED HIGHER — EXODUS 24:12–18</w:t>
      </w:r>
    </w:p>
    <w:p>
      <w:pPr>
        <w:pStyle w:val="Heading2"/>
      </w:pPr>
      <w:r>
        <w:t>Exodus 24:12 — tables of stone</w:t>
      </w:r>
    </w:p>
    <w:p>
      <w:pPr/>
      <w:r>
        <w:rPr>
          <w:i w:val="0"/>
        </w:rPr>
        <w:t>Moses is called higher to receive the stone tablets, “the law, and commandments, which I have written.” The tablets become a durable Divine witness to the covenant words already proclaimed.</w:t>
      </w:r>
    </w:p>
    <w:p>
      <w:pPr>
        <w:pStyle w:val="Heading2"/>
      </w:pPr>
      <w:r>
        <w:t>Exodus 24:13–14 — Joshua, Aaron and Hur</w:t>
      </w:r>
    </w:p>
    <w:p>
      <w:pPr/>
      <w:r>
        <w:rPr>
          <w:i w:val="0"/>
        </w:rPr>
        <w:t>Joshua accompanies Moses as minister/attendant, while Aaron and Hur remain available with the elders to handle disputes below. Joshua’s special proximity prepares for later leadership without confusing his role with Moses’ unique mediation.</w:t>
      </w:r>
    </w:p>
    <w:p>
      <w:pPr>
        <w:pStyle w:val="Heading2"/>
      </w:pPr>
      <w:r>
        <w:t>Exodus 24:15–17 — cloud, six days and the seventh-day call</w:t>
      </w:r>
    </w:p>
    <w:p>
      <w:pPr/>
      <w:r>
        <w:rPr>
          <w:i w:val="0"/>
        </w:rPr>
        <w:t>The cloud covers Sinai and Yahweh’s glory dwells/rests upon the mountain. Six days pass before Yahweh calls Moses on the seventh. To Israel below, the glory appears like consuming fire. The same Divine holiness permits fellowship where God appoints access and is dangerous where humans presume.</w:t>
      </w:r>
    </w:p>
    <w:p>
      <w:pPr>
        <w:pStyle w:val="Heading2"/>
      </w:pPr>
      <w:r>
        <w:t>Exodus 24:18 — forty days and nights</w:t>
      </w:r>
    </w:p>
    <w:p>
      <w:pPr/>
      <w:r>
        <w:rPr>
          <w:i w:val="0"/>
        </w:rPr>
        <w:t>Moses enters the cloud and remains forty days and forty nights. The period bridges covenant ratification into the sanctuary revelation of Exodus 25–31. Deuteronomy 9:9 later recalls the same forty-day stay.</w:t>
      </w:r>
    </w:p>
    <w:p>
      <w:pPr>
        <w:pStyle w:val="Heading1"/>
      </w:pPr>
      <w:r>
        <w:t>WORD AND BLOOD TOGETHER</w:t>
      </w:r>
    </w:p>
    <w:p>
      <w:pPr>
        <w:pStyle w:val="Heading2"/>
      </w:pPr>
      <w:r>
        <w:t>Exodus 24 and Hebrews 9</w:t>
      </w:r>
    </w:p>
    <w:p>
      <w:pPr/>
      <w:r>
        <w:rPr>
          <w:i w:val="0"/>
        </w:rPr>
        <w:t>Mansfield’s strongest synthesis is that covenant word and covenant blood cannot be separated. Israel first hears the Divine terms, then sacrifice and blood ratify the accepted relationship. A “law” without sacrificial approach misses one side of the chapter; “blood” detached from obedient response misses the other.</w:t>
      </w:r>
    </w:p>
    <w:p>
      <w:pPr>
        <w:pStyle w:val="Heading1"/>
      </w:pPr>
      <w:r>
        <w:t>TRANSITION TO THE SANCTUARY</w:t>
      </w:r>
    </w:p>
    <w:p>
      <w:pPr>
        <w:pStyle w:val="Heading2"/>
      </w:pPr>
      <w:r>
        <w:t>Exodus 24:18 → Exodus 25</w:t>
      </w:r>
    </w:p>
    <w:p>
      <w:pPr/>
      <w:r>
        <w:rPr>
          <w:i w:val="0"/>
        </w:rPr>
        <w:t>The covenant God who has brought Israel near now reveals how He will dwell among them. Moses’ forty-day ascent therefore forms the narrative bridge from the Book of the Covenant to the tabernacle instructions.</w:t>
      </w:r>
    </w:p>
    <w:p>
      <w:pPr>
        <w:pStyle w:val="Heading1"/>
      </w:pPr>
      <w:r>
        <w:t>PRINCIPAL THEMES</w:t>
      </w:r>
    </w:p>
    <w:p>
      <w:pPr>
        <w:ind w:left="259" w:hanging="202"/>
      </w:pPr>
      <w:r>
        <w:rPr>
          <w:b/>
        </w:rPr>
        <w:t xml:space="preserve">• </w:t>
      </w:r>
      <w:r>
        <w:t>Covenant commitment rests on hearing and accepting revealed words.</w:t>
      </w:r>
    </w:p>
    <w:p>
      <w:pPr>
        <w:ind w:left="259" w:hanging="202"/>
      </w:pPr>
      <w:r>
        <w:rPr>
          <w:b/>
        </w:rPr>
        <w:t xml:space="preserve">• </w:t>
      </w:r>
      <w:r>
        <w:t>Sacrifice and blood ratify rather than replace covenant obedience.</w:t>
      </w:r>
    </w:p>
    <w:p>
      <w:pPr>
        <w:ind w:left="259" w:hanging="202"/>
      </w:pPr>
      <w:r>
        <w:rPr>
          <w:b/>
        </w:rPr>
        <w:t xml:space="preserve">• </w:t>
      </w:r>
      <w:r>
        <w:t>Israel’s representatives enjoy fellowship only through divinely ordered access.</w:t>
      </w:r>
    </w:p>
    <w:p>
      <w:pPr>
        <w:ind w:left="259" w:hanging="202"/>
      </w:pPr>
      <w:r>
        <w:rPr>
          <w:b/>
        </w:rPr>
        <w:t xml:space="preserve">• </w:t>
      </w:r>
      <w:r>
        <w:t>“Seeing God” at Sinai must be understood as mediated manifestation, not viewing the Father’s unveiled essence.</w:t>
      </w:r>
    </w:p>
    <w:p>
      <w:pPr>
        <w:ind w:left="259" w:hanging="202"/>
      </w:pPr>
      <w:r>
        <w:rPr>
          <w:b/>
        </w:rPr>
        <w:t xml:space="preserve">• </w:t>
      </w:r>
      <w:r>
        <w:t>The covenant meal expresses peace and fellowship after ratification.</w:t>
      </w:r>
    </w:p>
    <w:p>
      <w:pPr>
        <w:ind w:left="259" w:hanging="202"/>
      </w:pPr>
      <w:r>
        <w:rPr>
          <w:b/>
        </w:rPr>
        <w:t xml:space="preserve">• </w:t>
      </w:r>
      <w:r>
        <w:t>Moses’ unique mediatorial role remains distinct from elders, Aaron and Joshua.</w:t>
      </w:r>
    </w:p>
    <w:p>
      <w:pPr>
        <w:ind w:left="259" w:hanging="202"/>
      </w:pPr>
      <w:r>
        <w:rPr>
          <w:b/>
        </w:rPr>
        <w:t xml:space="preserve">• </w:t>
      </w:r>
      <w:r>
        <w:t>Word and blood belong together in the biblical theology of covenant.</w:t>
      </w:r>
    </w:p>
    <w:p>
      <w:pPr>
        <w:ind w:left="259" w:hanging="202"/>
      </w:pPr>
      <w:r>
        <w:rPr>
          <w:b/>
        </w:rPr>
        <w:t xml:space="preserve">• </w:t>
      </w:r>
      <w:r>
        <w:t>The forty-day ascent leads directly from covenant law to sanctuary.</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4"/>
              </w:rPr>
              <w:t>Ex. 24:1–2</w:t>
            </w:r>
          </w:p>
        </w:tc>
        <w:tc>
          <w:tcPr>
            <w:tcW w:type="dxa" w:w="3552"/>
            <w:vAlign w:val="top"/>
          </w:tcPr>
          <w:p>
            <w:pPr>
              <w:spacing w:after="0"/>
            </w:pPr>
            <w:r>
              <w:rPr>
                <w:rFonts w:ascii="Times New Roman" w:hAnsi="Times New Roman"/>
                <w:sz w:val="14"/>
              </w:rPr>
              <w:t>graded approach</w:t>
            </w:r>
          </w:p>
        </w:tc>
        <w:tc>
          <w:tcPr>
            <w:tcW w:type="dxa" w:w="3552"/>
            <w:vAlign w:val="top"/>
          </w:tcPr>
          <w:p>
            <w:pPr>
              <w:spacing w:after="0"/>
            </w:pPr>
            <w:r>
              <w:rPr>
                <w:rFonts w:ascii="Times New Roman" w:hAnsi="Times New Roman"/>
                <w:sz w:val="14"/>
              </w:rPr>
              <w:t>Many are summoned upward; Moses alone approaches nearest.</w:t>
            </w:r>
          </w:p>
        </w:tc>
      </w:tr>
      <w:tr>
        <w:tc>
          <w:tcPr>
            <w:tcW w:type="dxa" w:w="3552"/>
            <w:vAlign w:val="top"/>
          </w:tcPr>
          <w:p>
            <w:pPr>
              <w:spacing w:after="0"/>
            </w:pPr>
            <w:r>
              <w:rPr>
                <w:rFonts w:ascii="Times New Roman" w:hAnsi="Times New Roman"/>
                <w:sz w:val="14"/>
              </w:rPr>
              <w:t>Ex. 24:4</w:t>
            </w:r>
          </w:p>
        </w:tc>
        <w:tc>
          <w:tcPr>
            <w:tcW w:type="dxa" w:w="3552"/>
            <w:vAlign w:val="top"/>
          </w:tcPr>
          <w:p>
            <w:pPr>
              <w:spacing w:after="0"/>
            </w:pPr>
            <w:r>
              <w:rPr>
                <w:rFonts w:ascii="Times New Roman" w:hAnsi="Times New Roman"/>
                <w:sz w:val="14"/>
              </w:rPr>
              <w:t>written book / 12 pillars</w:t>
            </w:r>
          </w:p>
        </w:tc>
        <w:tc>
          <w:tcPr>
            <w:tcW w:type="dxa" w:w="3552"/>
            <w:vAlign w:val="top"/>
          </w:tcPr>
          <w:p>
            <w:pPr>
              <w:spacing w:after="0"/>
            </w:pPr>
            <w:r>
              <w:rPr>
                <w:rFonts w:ascii="Times New Roman" w:hAnsi="Times New Roman"/>
                <w:sz w:val="14"/>
              </w:rPr>
              <w:t>Book records terms; pillars correspond to tribes.</w:t>
            </w:r>
          </w:p>
        </w:tc>
      </w:tr>
      <w:tr>
        <w:tc>
          <w:tcPr>
            <w:tcW w:type="dxa" w:w="3552"/>
            <w:vAlign w:val="top"/>
          </w:tcPr>
          <w:p>
            <w:pPr>
              <w:spacing w:after="0"/>
            </w:pPr>
            <w:r>
              <w:rPr>
                <w:rFonts w:ascii="Times New Roman" w:hAnsi="Times New Roman"/>
                <w:sz w:val="14"/>
              </w:rPr>
              <w:t>Ex. 24:5</w:t>
            </w:r>
          </w:p>
        </w:tc>
        <w:tc>
          <w:tcPr>
            <w:tcW w:type="dxa" w:w="3552"/>
            <w:vAlign w:val="top"/>
          </w:tcPr>
          <w:p>
            <w:pPr>
              <w:spacing w:after="0"/>
            </w:pPr>
            <w:r>
              <w:rPr>
                <w:rFonts w:ascii="Times New Roman" w:hAnsi="Times New Roman"/>
                <w:sz w:val="14"/>
              </w:rPr>
              <w:t>young men offer</w:t>
            </w:r>
          </w:p>
        </w:tc>
        <w:tc>
          <w:tcPr>
            <w:tcW w:type="dxa" w:w="3552"/>
            <w:vAlign w:val="top"/>
          </w:tcPr>
          <w:p>
            <w:pPr>
              <w:spacing w:after="0"/>
            </w:pPr>
            <w:r>
              <w:rPr>
                <w:rFonts w:ascii="Times New Roman" w:hAnsi="Times New Roman"/>
                <w:sz w:val="14"/>
              </w:rPr>
              <w:t>Exact priestly status before Aaronic consecration not stated.</w:t>
            </w:r>
          </w:p>
        </w:tc>
      </w:tr>
      <w:tr>
        <w:tc>
          <w:tcPr>
            <w:tcW w:type="dxa" w:w="3552"/>
            <w:vAlign w:val="top"/>
          </w:tcPr>
          <w:p>
            <w:pPr>
              <w:spacing w:after="0"/>
            </w:pPr>
            <w:r>
              <w:rPr>
                <w:rFonts w:ascii="Times New Roman" w:hAnsi="Times New Roman"/>
                <w:sz w:val="14"/>
              </w:rPr>
              <w:t>Ex. 24:6</w:t>
            </w:r>
          </w:p>
        </w:tc>
        <w:tc>
          <w:tcPr>
            <w:tcW w:type="dxa" w:w="3552"/>
            <w:vAlign w:val="top"/>
          </w:tcPr>
          <w:p>
            <w:pPr>
              <w:spacing w:after="0"/>
            </w:pPr>
            <w:r>
              <w:rPr>
                <w:rFonts w:ascii="Times New Roman" w:hAnsi="Times New Roman"/>
                <w:sz w:val="14"/>
              </w:rPr>
              <w:t>half blood altar / half basins</w:t>
            </w:r>
          </w:p>
        </w:tc>
        <w:tc>
          <w:tcPr>
            <w:tcW w:type="dxa" w:w="3552"/>
            <w:vAlign w:val="top"/>
          </w:tcPr>
          <w:p>
            <w:pPr>
              <w:spacing w:after="0"/>
            </w:pPr>
            <w:r>
              <w:rPr>
                <w:rFonts w:ascii="Times New Roman" w:hAnsi="Times New Roman"/>
                <w:sz w:val="14"/>
              </w:rPr>
              <w:t>Two-stage covenant application.</w:t>
            </w:r>
          </w:p>
        </w:tc>
      </w:tr>
      <w:tr>
        <w:tc>
          <w:tcPr>
            <w:tcW w:type="dxa" w:w="3552"/>
            <w:vAlign w:val="top"/>
          </w:tcPr>
          <w:p>
            <w:pPr>
              <w:spacing w:after="0"/>
            </w:pPr>
            <w:r>
              <w:rPr>
                <w:rFonts w:ascii="Times New Roman" w:hAnsi="Times New Roman"/>
                <w:sz w:val="14"/>
              </w:rPr>
              <w:t>Ex. 24:7</w:t>
            </w:r>
          </w:p>
        </w:tc>
        <w:tc>
          <w:tcPr>
            <w:tcW w:type="dxa" w:w="3552"/>
            <w:vAlign w:val="top"/>
          </w:tcPr>
          <w:p>
            <w:pPr>
              <w:spacing w:after="0"/>
            </w:pPr>
            <w:r>
              <w:rPr>
                <w:rFonts w:ascii="Times New Roman" w:hAnsi="Times New Roman"/>
                <w:sz w:val="14"/>
              </w:rPr>
              <w:t>Book of Covenant read</w:t>
            </w:r>
          </w:p>
        </w:tc>
        <w:tc>
          <w:tcPr>
            <w:tcW w:type="dxa" w:w="3552"/>
            <w:vAlign w:val="top"/>
          </w:tcPr>
          <w:p>
            <w:pPr>
              <w:spacing w:after="0"/>
            </w:pPr>
            <w:r>
              <w:rPr>
                <w:rFonts w:ascii="Times New Roman" w:hAnsi="Times New Roman"/>
                <w:sz w:val="14"/>
              </w:rPr>
              <w:t>Second assent follows public reading: “do, and be obedient.”</w:t>
            </w:r>
          </w:p>
        </w:tc>
      </w:tr>
      <w:tr>
        <w:tc>
          <w:tcPr>
            <w:tcW w:type="dxa" w:w="3552"/>
            <w:vAlign w:val="top"/>
          </w:tcPr>
          <w:p>
            <w:pPr>
              <w:spacing w:after="0"/>
            </w:pPr>
            <w:r>
              <w:rPr>
                <w:rFonts w:ascii="Times New Roman" w:hAnsi="Times New Roman"/>
                <w:sz w:val="14"/>
              </w:rPr>
              <w:t>Ex. 24:8</w:t>
            </w:r>
          </w:p>
        </w:tc>
        <w:tc>
          <w:tcPr>
            <w:tcW w:type="dxa" w:w="3552"/>
            <w:vAlign w:val="top"/>
          </w:tcPr>
          <w:p>
            <w:pPr>
              <w:spacing w:after="0"/>
            </w:pPr>
            <w:r>
              <w:rPr>
                <w:rFonts w:ascii="Times New Roman" w:hAnsi="Times New Roman"/>
                <w:sz w:val="14"/>
              </w:rPr>
              <w:t>blood of covenant</w:t>
            </w:r>
          </w:p>
        </w:tc>
        <w:tc>
          <w:tcPr>
            <w:tcW w:type="dxa" w:w="3552"/>
            <w:vAlign w:val="top"/>
          </w:tcPr>
          <w:p>
            <w:pPr>
              <w:spacing w:after="0"/>
            </w:pPr>
            <w:r>
              <w:rPr>
                <w:rFonts w:ascii="Times New Roman" w:hAnsi="Times New Roman"/>
                <w:sz w:val="14"/>
              </w:rPr>
              <w:t>Ratifies covenant “concerning all these words.”</w:t>
            </w:r>
          </w:p>
        </w:tc>
      </w:tr>
      <w:tr>
        <w:tc>
          <w:tcPr>
            <w:tcW w:type="dxa" w:w="3552"/>
            <w:vAlign w:val="top"/>
          </w:tcPr>
          <w:p>
            <w:pPr>
              <w:spacing w:after="0"/>
            </w:pPr>
            <w:r>
              <w:rPr>
                <w:rFonts w:ascii="Times New Roman" w:hAnsi="Times New Roman"/>
                <w:sz w:val="14"/>
              </w:rPr>
              <w:t>Heb. 9:18–22</w:t>
            </w:r>
          </w:p>
        </w:tc>
        <w:tc>
          <w:tcPr>
            <w:tcW w:type="dxa" w:w="3552"/>
            <w:vAlign w:val="top"/>
          </w:tcPr>
          <w:p>
            <w:pPr>
              <w:spacing w:after="0"/>
            </w:pPr>
            <w:r>
              <w:rPr>
                <w:rFonts w:ascii="Times New Roman" w:hAnsi="Times New Roman"/>
                <w:sz w:val="14"/>
              </w:rPr>
              <w:t>Sinai covenant pattern</w:t>
            </w:r>
          </w:p>
        </w:tc>
        <w:tc>
          <w:tcPr>
            <w:tcW w:type="dxa" w:w="3552"/>
            <w:vAlign w:val="top"/>
          </w:tcPr>
          <w:p>
            <w:pPr>
              <w:spacing w:after="0"/>
            </w:pPr>
            <w:r>
              <w:rPr>
                <w:rFonts w:ascii="Times New Roman" w:hAnsi="Times New Roman"/>
                <w:sz w:val="14"/>
              </w:rPr>
              <w:t>Inspired expansion adds book, water, scarlet wool and hyssop details.</w:t>
            </w:r>
          </w:p>
        </w:tc>
      </w:tr>
      <w:tr>
        <w:tc>
          <w:tcPr>
            <w:tcW w:type="dxa" w:w="3552"/>
            <w:vAlign w:val="top"/>
          </w:tcPr>
          <w:p>
            <w:pPr>
              <w:spacing w:after="0"/>
            </w:pPr>
            <w:r>
              <w:rPr>
                <w:rFonts w:ascii="Times New Roman" w:hAnsi="Times New Roman"/>
                <w:sz w:val="14"/>
              </w:rPr>
              <w:t>Ex. 24:10–11</w:t>
            </w:r>
          </w:p>
        </w:tc>
        <w:tc>
          <w:tcPr>
            <w:tcW w:type="dxa" w:w="3552"/>
            <w:vAlign w:val="top"/>
          </w:tcPr>
          <w:p>
            <w:pPr>
              <w:spacing w:after="0"/>
            </w:pPr>
            <w:r>
              <w:rPr>
                <w:rFonts w:ascii="Times New Roman" w:hAnsi="Times New Roman"/>
                <w:sz w:val="14"/>
              </w:rPr>
              <w:t>saw God</w:t>
            </w:r>
          </w:p>
        </w:tc>
        <w:tc>
          <w:tcPr>
            <w:tcW w:type="dxa" w:w="3552"/>
            <w:vAlign w:val="top"/>
          </w:tcPr>
          <w:p>
            <w:pPr>
              <w:spacing w:after="0"/>
            </w:pPr>
            <w:r>
              <w:rPr>
                <w:rFonts w:ascii="Times New Roman" w:hAnsi="Times New Roman"/>
                <w:sz w:val="14"/>
              </w:rPr>
              <w:t>Mediated manifestation; compare Ex. 33:20; John 1:18.</w:t>
            </w:r>
          </w:p>
        </w:tc>
      </w:tr>
      <w:tr>
        <w:tc>
          <w:tcPr>
            <w:tcW w:type="dxa" w:w="3552"/>
            <w:vAlign w:val="top"/>
          </w:tcPr>
          <w:p>
            <w:pPr>
              <w:spacing w:after="0"/>
            </w:pPr>
            <w:r>
              <w:rPr>
                <w:rFonts w:ascii="Times New Roman" w:hAnsi="Times New Roman"/>
                <w:sz w:val="14"/>
              </w:rPr>
              <w:t>Ex. 24:10</w:t>
            </w:r>
          </w:p>
        </w:tc>
        <w:tc>
          <w:tcPr>
            <w:tcW w:type="dxa" w:w="3552"/>
            <w:vAlign w:val="top"/>
          </w:tcPr>
          <w:p>
            <w:pPr>
              <w:spacing w:after="0"/>
            </w:pPr>
            <w:r>
              <w:rPr>
                <w:rFonts w:ascii="Times New Roman" w:hAnsi="Times New Roman"/>
                <w:sz w:val="14"/>
              </w:rPr>
              <w:t>sapphire-like pavement</w:t>
            </w:r>
          </w:p>
        </w:tc>
        <w:tc>
          <w:tcPr>
            <w:tcW w:type="dxa" w:w="3552"/>
            <w:vAlign w:val="top"/>
          </w:tcPr>
          <w:p>
            <w:pPr>
              <w:spacing w:after="0"/>
            </w:pPr>
            <w:r>
              <w:rPr>
                <w:rFonts w:ascii="Times New Roman" w:hAnsi="Times New Roman"/>
                <w:sz w:val="14"/>
              </w:rPr>
              <w:t>Vision imagery of heavenly clarity; exact mineral symbolism secondary.</w:t>
            </w:r>
          </w:p>
        </w:tc>
      </w:tr>
      <w:tr>
        <w:tc>
          <w:tcPr>
            <w:tcW w:type="dxa" w:w="3552"/>
            <w:vAlign w:val="top"/>
          </w:tcPr>
          <w:p>
            <w:pPr>
              <w:spacing w:after="0"/>
            </w:pPr>
            <w:r>
              <w:rPr>
                <w:rFonts w:ascii="Times New Roman" w:hAnsi="Times New Roman"/>
                <w:sz w:val="14"/>
              </w:rPr>
              <w:t>Ex. 24:11</w:t>
            </w:r>
          </w:p>
        </w:tc>
        <w:tc>
          <w:tcPr>
            <w:tcW w:type="dxa" w:w="3552"/>
            <w:vAlign w:val="top"/>
          </w:tcPr>
          <w:p>
            <w:pPr>
              <w:spacing w:after="0"/>
            </w:pPr>
            <w:r>
              <w:rPr>
                <w:rFonts w:ascii="Times New Roman" w:hAnsi="Times New Roman"/>
                <w:sz w:val="14"/>
              </w:rPr>
              <w:t>eat and drink</w:t>
            </w:r>
          </w:p>
        </w:tc>
        <w:tc>
          <w:tcPr>
            <w:tcW w:type="dxa" w:w="3552"/>
            <w:vAlign w:val="top"/>
          </w:tcPr>
          <w:p>
            <w:pPr>
              <w:spacing w:after="0"/>
            </w:pPr>
            <w:r>
              <w:rPr>
                <w:rFonts w:ascii="Times New Roman" w:hAnsi="Times New Roman"/>
                <w:sz w:val="14"/>
              </w:rPr>
              <w:t>Covenant fellowship in Divine presence.</w:t>
            </w:r>
          </w:p>
        </w:tc>
      </w:tr>
      <w:tr>
        <w:tc>
          <w:tcPr>
            <w:tcW w:type="dxa" w:w="3552"/>
            <w:vAlign w:val="top"/>
          </w:tcPr>
          <w:p>
            <w:pPr>
              <w:spacing w:after="0"/>
            </w:pPr>
            <w:r>
              <w:rPr>
                <w:rFonts w:ascii="Times New Roman" w:hAnsi="Times New Roman"/>
                <w:sz w:val="14"/>
              </w:rPr>
              <w:t>Ex. 24:12</w:t>
            </w:r>
          </w:p>
        </w:tc>
        <w:tc>
          <w:tcPr>
            <w:tcW w:type="dxa" w:w="3552"/>
            <w:vAlign w:val="top"/>
          </w:tcPr>
          <w:p>
            <w:pPr>
              <w:spacing w:after="0"/>
            </w:pPr>
            <w:r>
              <w:rPr>
                <w:rFonts w:ascii="Times New Roman" w:hAnsi="Times New Roman"/>
                <w:sz w:val="14"/>
              </w:rPr>
              <w:t>tables God has written</w:t>
            </w:r>
          </w:p>
        </w:tc>
        <w:tc>
          <w:tcPr>
            <w:tcW w:type="dxa" w:w="3552"/>
            <w:vAlign w:val="top"/>
          </w:tcPr>
          <w:p>
            <w:pPr>
              <w:spacing w:after="0"/>
            </w:pPr>
            <w:r>
              <w:rPr>
                <w:rFonts w:ascii="Times New Roman" w:hAnsi="Times New Roman"/>
                <w:sz w:val="14"/>
              </w:rPr>
              <w:t>Durable Divine witness to spoken covenant.</w:t>
            </w:r>
          </w:p>
        </w:tc>
      </w:tr>
      <w:tr>
        <w:tc>
          <w:tcPr>
            <w:tcW w:type="dxa" w:w="3552"/>
            <w:vAlign w:val="top"/>
          </w:tcPr>
          <w:p>
            <w:pPr>
              <w:spacing w:after="0"/>
            </w:pPr>
            <w:r>
              <w:rPr>
                <w:rFonts w:ascii="Times New Roman" w:hAnsi="Times New Roman"/>
                <w:sz w:val="14"/>
              </w:rPr>
              <w:t>Ex. 24:13–14</w:t>
            </w:r>
          </w:p>
        </w:tc>
        <w:tc>
          <w:tcPr>
            <w:tcW w:type="dxa" w:w="3552"/>
            <w:vAlign w:val="top"/>
          </w:tcPr>
          <w:p>
            <w:pPr>
              <w:spacing w:after="0"/>
            </w:pPr>
            <w:r>
              <w:rPr>
                <w:rFonts w:ascii="Times New Roman" w:hAnsi="Times New Roman"/>
                <w:sz w:val="14"/>
              </w:rPr>
              <w:t>Joshua / Aaron / Hur</w:t>
            </w:r>
          </w:p>
        </w:tc>
        <w:tc>
          <w:tcPr>
            <w:tcW w:type="dxa" w:w="3552"/>
            <w:vAlign w:val="top"/>
          </w:tcPr>
          <w:p>
            <w:pPr>
              <w:spacing w:after="0"/>
            </w:pPr>
            <w:r>
              <w:rPr>
                <w:rFonts w:ascii="Times New Roman" w:hAnsi="Times New Roman"/>
                <w:sz w:val="14"/>
              </w:rPr>
              <w:t>Distinct supporting roles; Moses remains mediator.</w:t>
            </w:r>
          </w:p>
        </w:tc>
      </w:tr>
      <w:tr>
        <w:tc>
          <w:tcPr>
            <w:tcW w:type="dxa" w:w="3552"/>
            <w:vAlign w:val="top"/>
          </w:tcPr>
          <w:p>
            <w:pPr>
              <w:spacing w:after="0"/>
            </w:pPr>
            <w:r>
              <w:rPr>
                <w:rFonts w:ascii="Times New Roman" w:hAnsi="Times New Roman"/>
                <w:sz w:val="14"/>
              </w:rPr>
              <w:t>Ex. 24:16</w:t>
            </w:r>
          </w:p>
        </w:tc>
        <w:tc>
          <w:tcPr>
            <w:tcW w:type="dxa" w:w="3552"/>
            <w:vAlign w:val="top"/>
          </w:tcPr>
          <w:p>
            <w:pPr>
              <w:spacing w:after="0"/>
            </w:pPr>
            <w:r>
              <w:rPr>
                <w:rFonts w:ascii="Times New Roman" w:hAnsi="Times New Roman"/>
                <w:sz w:val="14"/>
              </w:rPr>
              <w:t>six days; seventh call</w:t>
            </w:r>
          </w:p>
        </w:tc>
        <w:tc>
          <w:tcPr>
            <w:tcW w:type="dxa" w:w="3552"/>
            <w:vAlign w:val="top"/>
          </w:tcPr>
          <w:p>
            <w:pPr>
              <w:spacing w:after="0"/>
            </w:pPr>
            <w:r>
              <w:rPr>
                <w:rFonts w:ascii="Times New Roman" w:hAnsi="Times New Roman"/>
                <w:sz w:val="14"/>
              </w:rPr>
              <w:t>Waiting precedes further revelation.</w:t>
            </w:r>
          </w:p>
        </w:tc>
      </w:tr>
      <w:tr>
        <w:tc>
          <w:tcPr>
            <w:tcW w:type="dxa" w:w="3552"/>
            <w:vAlign w:val="top"/>
          </w:tcPr>
          <w:p>
            <w:pPr>
              <w:spacing w:after="0"/>
            </w:pPr>
            <w:r>
              <w:rPr>
                <w:rFonts w:ascii="Times New Roman" w:hAnsi="Times New Roman"/>
                <w:sz w:val="14"/>
              </w:rPr>
              <w:t>Ex. 24:17</w:t>
            </w:r>
          </w:p>
        </w:tc>
        <w:tc>
          <w:tcPr>
            <w:tcW w:type="dxa" w:w="3552"/>
            <w:vAlign w:val="top"/>
          </w:tcPr>
          <w:p>
            <w:pPr>
              <w:spacing w:after="0"/>
            </w:pPr>
            <w:r>
              <w:rPr>
                <w:rFonts w:ascii="Times New Roman" w:hAnsi="Times New Roman"/>
                <w:sz w:val="14"/>
              </w:rPr>
              <w:t>consuming fire appearance</w:t>
            </w:r>
          </w:p>
        </w:tc>
        <w:tc>
          <w:tcPr>
            <w:tcW w:type="dxa" w:w="3552"/>
            <w:vAlign w:val="top"/>
          </w:tcPr>
          <w:p>
            <w:pPr>
              <w:spacing w:after="0"/>
            </w:pPr>
            <w:r>
              <w:rPr>
                <w:rFonts w:ascii="Times New Roman" w:hAnsi="Times New Roman"/>
                <w:sz w:val="14"/>
              </w:rPr>
              <w:t>Divine holiness visible to Israel below.</w:t>
            </w:r>
          </w:p>
        </w:tc>
      </w:tr>
      <w:tr>
        <w:tc>
          <w:tcPr>
            <w:tcW w:type="dxa" w:w="3552"/>
            <w:vAlign w:val="top"/>
          </w:tcPr>
          <w:p>
            <w:pPr>
              <w:spacing w:after="0"/>
            </w:pPr>
            <w:r>
              <w:rPr>
                <w:rFonts w:ascii="Times New Roman" w:hAnsi="Times New Roman"/>
                <w:sz w:val="14"/>
              </w:rPr>
              <w:t>Ex. 24:18</w:t>
            </w:r>
          </w:p>
        </w:tc>
        <w:tc>
          <w:tcPr>
            <w:tcW w:type="dxa" w:w="3552"/>
            <w:vAlign w:val="top"/>
          </w:tcPr>
          <w:p>
            <w:pPr>
              <w:spacing w:after="0"/>
            </w:pPr>
            <w:r>
              <w:rPr>
                <w:rFonts w:ascii="Times New Roman" w:hAnsi="Times New Roman"/>
                <w:sz w:val="14"/>
              </w:rPr>
              <w:t>forty days/nights</w:t>
            </w:r>
          </w:p>
        </w:tc>
        <w:tc>
          <w:tcPr>
            <w:tcW w:type="dxa" w:w="3552"/>
            <w:vAlign w:val="top"/>
          </w:tcPr>
          <w:p>
            <w:pPr>
              <w:spacing w:after="0"/>
            </w:pPr>
            <w:r>
              <w:rPr>
                <w:rFonts w:ascii="Times New Roman" w:hAnsi="Times New Roman"/>
                <w:sz w:val="14"/>
              </w:rPr>
              <w:t>Confirmed by Deut. 9:9; bridge into sanctuary instructions.</w:t>
            </w:r>
          </w:p>
        </w:tc>
      </w:tr>
    </w:tbl>
    <w:p>
      <w:pPr>
        <w:pStyle w:val="Heading1"/>
      </w:pPr>
      <w:r>
        <w:t>RESIDUAL UNCERTAINTIES</w:t>
      </w:r>
    </w:p>
    <w:p>
      <w:pPr/>
      <w:r>
        <w:rPr>
          <w:i w:val="0"/>
        </w:rPr>
        <w:t>The precise nature of the visual manifestation in verses 10–11 is not described beyond the inspired imagery, so it should not be reconstructed as a literal portrait of God. The status of the “young men” in verse 5 and the exact ceremonial symbolism of altar/pillars remain interpretive. Hebrews 9 supplies inspired covenant details beyond the shorter Exodus narrative.</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24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0" w:after="18"/>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0" w:after="18"/>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