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25</w:t>
      </w:r>
    </w:p>
    <w:p>
      <w:pPr>
        <w:pStyle w:val="Subtitle"/>
      </w:pPr>
      <w:r>
        <w:t>WILLING OFFERINGS • “THAT I MAY DWELL AMONG THEM” • THE ARK AND MERCY SEAT • BREAD OF THE PRESENCE • THE GOLDEN LAMPSTAND • THE PATTERN</w:t>
      </w:r>
    </w:p>
    <w:p>
      <w:pPr/>
      <w:r>
        <w:rPr>
          <w:i/>
        </w:rPr>
        <w:t>H. P. Mansfield Bible notes — checked and arranged in verse-by-verse Expositor style</w:t>
      </w:r>
    </w:p>
    <w:p>
      <w:pPr/>
      <w:r>
        <w:rPr>
          <w:i w:val="0"/>
        </w:rPr>
        <w:t>Source: HPB 02-Gen42-Lev11.pdf, principally Exodus 25 photographed pages 54–58</w:t>
      </w:r>
    </w:p>
    <w:p>
      <w:pPr>
        <w:pStyle w:val="Heading1"/>
      </w:pPr>
      <w:r>
        <w:t>CHAPTER OVERVIEW</w:t>
      </w:r>
    </w:p>
    <w:p>
      <w:pPr/>
      <w:r>
        <w:rPr>
          <w:i w:val="0"/>
        </w:rPr>
        <w:t>Exodus 25 begins the sanctuary instructions. The governing ideas are willing response, Divine dwelling and exact conformity to the revealed pattern. Materials that are ordinary in themselves become holy because they are freely offered, selected and fashioned according to Yahweh’s command.</w:t>
      </w:r>
    </w:p>
    <w:p>
      <w:pPr/>
      <w:r>
        <w:rPr>
          <w:i w:val="0"/>
        </w:rPr>
        <w:t>The furniture is described from the innermost place outward: ark and mercy-cover, table of the Presence bread, then the golden lampstand. Mansfield’s typology is preserved where it illuminates the inspired structure, but uncertain material identifications and symbolic meanings are not treated as lexical facts.</w:t>
      </w:r>
    </w:p>
    <w:p>
      <w:pPr>
        <w:pStyle w:val="Heading1"/>
      </w:pPr>
      <w:r>
        <w:t>THE WILLING CONTRIBUTION — EXODUS 25:1–9</w:t>
      </w:r>
    </w:p>
    <w:p>
      <w:pPr>
        <w:pStyle w:val="Heading2"/>
      </w:pPr>
      <w:r>
        <w:t>Exodus 25:1–2 — “whose heart maketh him willing”</w:t>
      </w:r>
    </w:p>
    <w:p>
      <w:pPr/>
      <w:r>
        <w:rPr>
          <w:i w:val="0"/>
        </w:rPr>
        <w:t>The contribution is terumah, something lifted/set apart as an offering. It is to be received from those whose heart willingly moves them. The sanctuary therefore begins with voluntary response rather than compulsory religious taxation.</w:t>
      </w:r>
    </w:p>
    <w:p>
      <w:pPr/>
      <w:r>
        <w:rPr>
          <w:i w:val="0"/>
        </w:rPr>
        <w:t>Exodus 35–36 later records the same willingness in action until the people have to be restrained from bringing more.</w:t>
      </w:r>
    </w:p>
    <w:p>
      <w:pPr>
        <w:pStyle w:val="Heading2"/>
      </w:pPr>
      <w:r>
        <w:t>Exodus 25:3–7 — materials offered for holy use</w:t>
      </w:r>
    </w:p>
    <w:p>
      <w:pPr/>
      <w:r>
        <w:rPr>
          <w:i w:val="0"/>
        </w:rPr>
        <w:t>Gold and silver are named with nechosheth, the copper/bronze metal traditionally rendered “brass” in the KJV. Modern brass is a copper-zinc alloy, so “bronze/copper” is more accurate materially.</w:t>
      </w:r>
    </w:p>
    <w:p>
      <w:pPr/>
      <w:r>
        <w:rPr>
          <w:i w:val="0"/>
        </w:rPr>
        <w:t>Blue, purple, scarlet, fine linen, goats’ hair, red-dyed rams’ skins, acacia/shittim wood, oil, spices and precious stones are listed. The outer covering called “badgers’ skins” in the KJV is tachash; its precise animal/material identification is uncertain. Proposals range from marine-animal hide to specially processed leather, so the safe reading is simply tachash skins.</w:t>
      </w:r>
    </w:p>
    <w:p>
      <w:pPr/>
      <w:r>
        <w:rPr>
          <w:i w:val="0"/>
        </w:rPr>
        <w:t>Mansfield’s associations—gold with Divine glory/faith, silver with redemption, bronze with judged flesh, colours with heavenliness/royalty/sacrifice, linen with righteousness—are useful typological studies but are not the dictionary definitions of the materials.</w:t>
      </w:r>
    </w:p>
    <w:p>
      <w:pPr>
        <w:pStyle w:val="Heading2"/>
      </w:pPr>
      <w:r>
        <w:t>Exodus 25:8–9 — sanctuary and pattern</w:t>
      </w:r>
    </w:p>
    <w:p>
      <w:pPr/>
      <w:r>
        <w:rPr>
          <w:i w:val="0"/>
        </w:rPr>
        <w:t>“Let them make me a sanctuary; that I may dwell among them.” Miqdash means sanctuary/holy place; shakan means dwell/tabernacle. The goal is Divine presence among a sanctified people, not merely the construction of an impressive building.</w:t>
      </w:r>
    </w:p>
    <w:p>
      <w:pPr/>
      <w:r>
        <w:rPr>
          <w:i w:val="0"/>
        </w:rPr>
        <w:t>Everything is to follow the tabnith, pattern/design/model shown to Moses. Hebrews 8:5 explicitly cites this principle: “See … that thou make all things according to the pattern shewed to thee in the mount.”</w:t>
      </w:r>
    </w:p>
    <w:p>
      <w:pPr>
        <w:pStyle w:val="Heading1"/>
      </w:pPr>
      <w:r>
        <w:t>THE ARK OF THE TESTIMONY — EXODUS 25:10–16</w:t>
      </w:r>
    </w:p>
    <w:p>
      <w:pPr>
        <w:pStyle w:val="Heading2"/>
      </w:pPr>
      <w:r>
        <w:t>Exodus 25:10–16 — wood, gold, staves and testimony</w:t>
      </w:r>
    </w:p>
    <w:p>
      <w:pPr/>
      <w:r>
        <w:rPr>
          <w:i w:val="0"/>
        </w:rPr>
        <w:t>The aron, ark/chest, is made from shittim/acacia wood and overlaid inside and outside with pure gold. A zer, rim/border or moulding, runs around it; KJV “crown” is traditional but should not be pressed into royal symbolism as though the Hebrew itself means a royal diadem.</w:t>
      </w:r>
    </w:p>
    <w:p>
      <w:pPr/>
      <w:r>
        <w:rPr>
          <w:i w:val="0"/>
        </w:rPr>
        <w:t>Rings and staves allow it to be carried, and verse 15 commands that the staves are not to be removed from the rings. The testimony, ‘edut, is placed within. The law therefore lies at the heart of the symbolic throne/meeting arrangement.</w:t>
      </w:r>
    </w:p>
    <w:p>
      <w:pPr/>
      <w:r>
        <w:rPr>
          <w:i w:val="0"/>
        </w:rPr>
        <w:t>Mansfield’s wood-and-gold application to human nature clothed in Divine glory is typological; the literal construction remains acacia wood completely overlaid with gold.</w:t>
      </w:r>
    </w:p>
    <w:p>
      <w:pPr>
        <w:pStyle w:val="Heading1"/>
      </w:pPr>
      <w:r>
        <w:t>THE KAPPORETH AND CHERUBIM — EXODUS 25:17–22</w:t>
      </w:r>
    </w:p>
    <w:p>
      <w:pPr>
        <w:pStyle w:val="Heading2"/>
      </w:pPr>
      <w:r>
        <w:t>Exodus 25:17–22 — the meeting place above the testimony</w:t>
      </w:r>
    </w:p>
    <w:p>
      <w:pPr/>
      <w:r>
        <w:rPr>
          <w:i w:val="0"/>
        </w:rPr>
        <w:t>The kapporeth is made of pure gold. It is traditionally “mercy seat,” but the Hebrew belongs to the k-p-r word family associated with covering/atonement. Hebrews 9:5 uses the Greek hilasterion for this object, and Romans 3:25 uses the same Greek noun of Christ, giving a strong New Testament atonement connection without requiring “mercy” to be the lexical meaning of kapporeth.</w:t>
      </w:r>
    </w:p>
    <w:p>
      <w:pPr/>
      <w:r>
        <w:rPr>
          <w:i w:val="0"/>
        </w:rPr>
        <w:t>Two cherubim are hammered from the same gold work, their wings overshadowing the kapporeth and their faces directed toward it. Exodus 25 does not fully define their bodily form, and they should not simply be equated with the popular image of winged human angels.</w:t>
      </w:r>
    </w:p>
    <w:p>
      <w:pPr/>
      <w:r>
        <w:rPr>
          <w:i w:val="0"/>
        </w:rPr>
        <w:t>Yahweh says, “there I will meet with thee.” The verb ya‘ad concerns appointed meeting. Communion comes from above the kapporeth, over the testimony: law remains present, but access is provided at the God-appointed place of covering.</w:t>
      </w:r>
    </w:p>
    <w:p>
      <w:pPr>
        <w:pStyle w:val="Heading1"/>
      </w:pPr>
      <w:r>
        <w:t>THE TABLE AND BREAD OF THE PRESENCE — EXODUS 25:23–30</w:t>
      </w:r>
    </w:p>
    <w:p>
      <w:pPr>
        <w:pStyle w:val="Heading2"/>
      </w:pPr>
      <w:r>
        <w:t>Exodus 25:23–30 — continual bread before Yahweh</w:t>
      </w:r>
    </w:p>
    <w:p>
      <w:pPr/>
      <w:r>
        <w:rPr>
          <w:i w:val="0"/>
        </w:rPr>
        <w:t>The table is acacia wood overlaid with gold, fitted for carrying, and supplied with vessels for sanctuary service. The “shewbread” is lechem panim, bread of the Presence/Face, kept before Yahweh continually.</w:t>
      </w:r>
    </w:p>
    <w:p>
      <w:pPr/>
      <w:r>
        <w:rPr>
          <w:i w:val="0"/>
        </w:rPr>
        <w:t>Leviticus 24:5–9 later specifies twelve loaves. Mansfield’s connection with Israel continually represented and sustained before Yahweh is therefore fitting typology, while the chapter itself emphasises continual provision and presence.</w:t>
      </w:r>
    </w:p>
    <w:p>
      <w:pPr>
        <w:pStyle w:val="Heading1"/>
      </w:pPr>
      <w:r>
        <w:t>THE GOLDEN LAMPSTAND — EXODUS 25:31–40</w:t>
      </w:r>
    </w:p>
    <w:p>
      <w:pPr>
        <w:pStyle w:val="Heading2"/>
      </w:pPr>
      <w:r>
        <w:t>Exodus 25:31–36 — one beaten work</w:t>
      </w:r>
    </w:p>
    <w:p>
      <w:pPr/>
      <w:r>
        <w:rPr>
          <w:i w:val="0"/>
        </w:rPr>
        <w:t>The menorah is a lampstand, not a wax “candlestick.” It is made of pure gold as one hammered work, with a central shaft and six branches. Bowls are shaped like almond blossoms with ornamental knobs and flowers.</w:t>
      </w:r>
    </w:p>
    <w:p>
      <w:pPr/>
      <w:r>
        <w:rPr>
          <w:i w:val="0"/>
        </w:rPr>
        <w:t>Shaked, almond, is associated elsewhere with watchfulness because of its similar sound to shaqad, watch (Jeremiah 1:11–12). Mansfield’s further resurrection symbolism is typological, not the lexical meaning of the almond ornament.</w:t>
      </w:r>
    </w:p>
    <w:p>
      <w:pPr>
        <w:pStyle w:val="Heading2"/>
      </w:pPr>
      <w:r>
        <w:t>Exodus 25:37–40 — seven lamps and the repeated pattern</w:t>
      </w:r>
    </w:p>
    <w:p>
      <w:pPr/>
      <w:r>
        <w:rPr>
          <w:i w:val="0"/>
        </w:rPr>
        <w:t>Seven lamps are arranged to give light in front of the lampstand. Tongs/snuffers and trays are also pure gold. One talent of gold is specified for the lampstand and its vessels; exact conversion to modern kilograms varies with the ancient standard and need not be fixed.</w:t>
      </w:r>
    </w:p>
    <w:p>
      <w:pPr/>
      <w:r>
        <w:rPr>
          <w:i w:val="0"/>
        </w:rPr>
        <w:t>Verse 40 repeats the controlling principle: everything must conform to the pattern shown in the mountain. Acceptable sanctuary service is revealed, not redesigned according to preference.</w:t>
      </w:r>
    </w:p>
    <w:p>
      <w:pPr>
        <w:pStyle w:val="Heading1"/>
      </w:pPr>
      <w:r>
        <w:t>PRINCIPAL THEMES</w:t>
      </w:r>
    </w:p>
    <w:p>
      <w:pPr>
        <w:ind w:left="259" w:hanging="202"/>
      </w:pPr>
      <w:r>
        <w:rPr>
          <w:b/>
        </w:rPr>
        <w:t xml:space="preserve">• </w:t>
      </w:r>
      <w:r>
        <w:t>Worship begins with willing hearts responding to Yahweh.</w:t>
      </w:r>
    </w:p>
    <w:p>
      <w:pPr>
        <w:ind w:left="259" w:hanging="202"/>
      </w:pPr>
      <w:r>
        <w:rPr>
          <w:b/>
        </w:rPr>
        <w:t xml:space="preserve">• </w:t>
      </w:r>
      <w:r>
        <w:t>The sanctuary exists so Yahweh may dwell among a sanctified people.</w:t>
      </w:r>
    </w:p>
    <w:p>
      <w:pPr>
        <w:ind w:left="259" w:hanging="202"/>
      </w:pPr>
      <w:r>
        <w:rPr>
          <w:b/>
        </w:rPr>
        <w:t xml:space="preserve">• </w:t>
      </w:r>
      <w:r>
        <w:t>Ordinary materials become holy through Divine appointment and use.</w:t>
      </w:r>
    </w:p>
    <w:p>
      <w:pPr>
        <w:ind w:left="259" w:hanging="202"/>
      </w:pPr>
      <w:r>
        <w:rPr>
          <w:b/>
        </w:rPr>
        <w:t xml:space="preserve">• </w:t>
      </w:r>
      <w:r>
        <w:t>The testimony remains at the heart of the ark while atonement/meeting is provided above it.</w:t>
      </w:r>
    </w:p>
    <w:p>
      <w:pPr>
        <w:ind w:left="259" w:hanging="202"/>
      </w:pPr>
      <w:r>
        <w:rPr>
          <w:b/>
        </w:rPr>
        <w:t xml:space="preserve">• </w:t>
      </w:r>
      <w:r>
        <w:t>The bread of the Presence signifies continual fellowship and provision.</w:t>
      </w:r>
    </w:p>
    <w:p>
      <w:pPr>
        <w:ind w:left="259" w:hanging="202"/>
      </w:pPr>
      <w:r>
        <w:rPr>
          <w:b/>
        </w:rPr>
        <w:t xml:space="preserve">• </w:t>
      </w:r>
      <w:r>
        <w:t>The lampstand is a unified source of sanctuary light.</w:t>
      </w:r>
    </w:p>
    <w:p>
      <w:pPr>
        <w:ind w:left="259" w:hanging="202"/>
      </w:pPr>
      <w:r>
        <w:rPr>
          <w:b/>
        </w:rPr>
        <w:t xml:space="preserve">• </w:t>
      </w:r>
      <w:r>
        <w:t>The pattern shown by God governs both structure and service.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6"/>
              </w:rPr>
              <w:t>Location</w:t>
            </w:r>
          </w:p>
        </w:tc>
        <w:tc>
          <w:tcPr>
            <w:tcW w:type="dxa" w:w="3561"/>
          </w:tcPr>
          <w:p>
            <w:r>
              <w:rPr>
                <w:rFonts w:ascii="Arial" w:hAnsi="Arial"/>
                <w:b/>
                <w:sz w:val="16"/>
              </w:rPr>
              <w:t>Checked / corrected reading</w:t>
            </w:r>
          </w:p>
        </w:tc>
        <w:tc>
          <w:tcPr>
            <w:tcW w:type="dxa" w:w="3561"/>
          </w:tcPr>
          <w:p>
            <w:r>
              <w:rPr>
                <w:rFonts w:ascii="Arial" w:hAnsi="Arial"/>
                <w:b/>
                <w:sz w:val="16"/>
              </w:rPr>
              <w:t>Basis</w:t>
            </w:r>
          </w:p>
        </w:tc>
      </w:tr>
      <w:tr>
        <w:tc>
          <w:tcPr>
            <w:tcW w:type="dxa" w:w="3561"/>
            <w:vAlign w:val="top"/>
          </w:tcPr>
          <w:p>
            <w:pPr>
              <w:spacing w:after="0"/>
            </w:pPr>
            <w:r>
              <w:rPr>
                <w:rFonts w:ascii="Times New Roman" w:hAnsi="Times New Roman"/>
                <w:sz w:val="14"/>
              </w:rPr>
              <w:t>Ex. 25:2</w:t>
            </w:r>
          </w:p>
        </w:tc>
        <w:tc>
          <w:tcPr>
            <w:tcW w:type="dxa" w:w="3561"/>
            <w:vAlign w:val="top"/>
          </w:tcPr>
          <w:p>
            <w:pPr>
              <w:spacing w:after="0"/>
            </w:pPr>
            <w:r>
              <w:rPr>
                <w:rFonts w:ascii="Times New Roman" w:hAnsi="Times New Roman"/>
                <w:sz w:val="14"/>
              </w:rPr>
              <w:t>terumah</w:t>
            </w:r>
          </w:p>
        </w:tc>
        <w:tc>
          <w:tcPr>
            <w:tcW w:type="dxa" w:w="3561"/>
            <w:vAlign w:val="top"/>
          </w:tcPr>
          <w:p>
            <w:pPr>
              <w:spacing w:after="0"/>
            </w:pPr>
            <w:r>
              <w:rPr>
                <w:rFonts w:ascii="Times New Roman" w:hAnsi="Times New Roman"/>
                <w:sz w:val="14"/>
              </w:rPr>
              <w:t>Contribution/raised offering, received from willing hearts.</w:t>
            </w:r>
          </w:p>
        </w:tc>
      </w:tr>
      <w:tr>
        <w:tc>
          <w:tcPr>
            <w:tcW w:type="dxa" w:w="3561"/>
            <w:vAlign w:val="top"/>
          </w:tcPr>
          <w:p>
            <w:pPr>
              <w:spacing w:after="0"/>
            </w:pPr>
            <w:r>
              <w:rPr>
                <w:rFonts w:ascii="Times New Roman" w:hAnsi="Times New Roman"/>
                <w:sz w:val="14"/>
              </w:rPr>
              <w:t>Ex. 25:3</w:t>
            </w:r>
          </w:p>
        </w:tc>
        <w:tc>
          <w:tcPr>
            <w:tcW w:type="dxa" w:w="3561"/>
            <w:vAlign w:val="top"/>
          </w:tcPr>
          <w:p>
            <w:pPr>
              <w:spacing w:after="0"/>
            </w:pPr>
            <w:r>
              <w:rPr>
                <w:rFonts w:ascii="Times New Roman" w:hAnsi="Times New Roman"/>
                <w:sz w:val="14"/>
              </w:rPr>
              <w:t>nechosheth</w:t>
            </w:r>
          </w:p>
        </w:tc>
        <w:tc>
          <w:tcPr>
            <w:tcW w:type="dxa" w:w="3561"/>
            <w:vAlign w:val="top"/>
          </w:tcPr>
          <w:p>
            <w:pPr>
              <w:spacing w:after="0"/>
            </w:pPr>
            <w:r>
              <w:rPr>
                <w:rFonts w:ascii="Times New Roman" w:hAnsi="Times New Roman"/>
                <w:sz w:val="14"/>
              </w:rPr>
              <w:t>Copper/bronze; KJV “brass” is pre-modern terminology.</w:t>
            </w:r>
          </w:p>
        </w:tc>
      </w:tr>
      <w:tr>
        <w:tc>
          <w:tcPr>
            <w:tcW w:type="dxa" w:w="3561"/>
            <w:vAlign w:val="top"/>
          </w:tcPr>
          <w:p>
            <w:pPr>
              <w:spacing w:after="0"/>
            </w:pPr>
            <w:r>
              <w:rPr>
                <w:rFonts w:ascii="Times New Roman" w:hAnsi="Times New Roman"/>
                <w:sz w:val="14"/>
              </w:rPr>
              <w:t>Ex. 25:4</w:t>
            </w:r>
          </w:p>
        </w:tc>
        <w:tc>
          <w:tcPr>
            <w:tcW w:type="dxa" w:w="3561"/>
            <w:vAlign w:val="top"/>
          </w:tcPr>
          <w:p>
            <w:pPr>
              <w:spacing w:after="0"/>
            </w:pPr>
            <w:r>
              <w:rPr>
                <w:rFonts w:ascii="Times New Roman" w:hAnsi="Times New Roman"/>
                <w:sz w:val="14"/>
              </w:rPr>
              <w:t>colour symbolism</w:t>
            </w:r>
          </w:p>
        </w:tc>
        <w:tc>
          <w:tcPr>
            <w:tcW w:type="dxa" w:w="3561"/>
            <w:vAlign w:val="top"/>
          </w:tcPr>
          <w:p>
            <w:pPr>
              <w:spacing w:after="0"/>
            </w:pPr>
            <w:r>
              <w:rPr>
                <w:rFonts w:ascii="Times New Roman" w:hAnsi="Times New Roman"/>
                <w:sz w:val="14"/>
              </w:rPr>
              <w:t>Mansfield’s typology useful, but colours’ meanings are not lexical definitions.</w:t>
            </w:r>
          </w:p>
        </w:tc>
      </w:tr>
      <w:tr>
        <w:tc>
          <w:tcPr>
            <w:tcW w:type="dxa" w:w="3561"/>
            <w:vAlign w:val="top"/>
          </w:tcPr>
          <w:p>
            <w:pPr>
              <w:spacing w:after="0"/>
            </w:pPr>
            <w:r>
              <w:rPr>
                <w:rFonts w:ascii="Times New Roman" w:hAnsi="Times New Roman"/>
                <w:sz w:val="14"/>
              </w:rPr>
              <w:t>Ex. 25:5</w:t>
            </w:r>
          </w:p>
        </w:tc>
        <w:tc>
          <w:tcPr>
            <w:tcW w:type="dxa" w:w="3561"/>
            <w:vAlign w:val="top"/>
          </w:tcPr>
          <w:p>
            <w:pPr>
              <w:spacing w:after="0"/>
            </w:pPr>
            <w:r>
              <w:rPr>
                <w:rFonts w:ascii="Times New Roman" w:hAnsi="Times New Roman"/>
                <w:sz w:val="14"/>
              </w:rPr>
              <w:t>tachash</w:t>
            </w:r>
          </w:p>
        </w:tc>
        <w:tc>
          <w:tcPr>
            <w:tcW w:type="dxa" w:w="3561"/>
            <w:vAlign w:val="top"/>
          </w:tcPr>
          <w:p>
            <w:pPr>
              <w:spacing w:after="0"/>
            </w:pPr>
            <w:r>
              <w:rPr>
                <w:rFonts w:ascii="Times New Roman" w:hAnsi="Times New Roman"/>
                <w:sz w:val="14"/>
              </w:rPr>
              <w:t>Exact hide/material uncertain; do not assert “badger” as certain.</w:t>
            </w:r>
          </w:p>
        </w:tc>
      </w:tr>
      <w:tr>
        <w:tc>
          <w:tcPr>
            <w:tcW w:type="dxa" w:w="3561"/>
            <w:vAlign w:val="top"/>
          </w:tcPr>
          <w:p>
            <w:pPr>
              <w:spacing w:after="0"/>
            </w:pPr>
            <w:r>
              <w:rPr>
                <w:rFonts w:ascii="Times New Roman" w:hAnsi="Times New Roman"/>
                <w:sz w:val="14"/>
              </w:rPr>
              <w:t>Ex. 25:5</w:t>
            </w:r>
          </w:p>
        </w:tc>
        <w:tc>
          <w:tcPr>
            <w:tcW w:type="dxa" w:w="3561"/>
            <w:vAlign w:val="top"/>
          </w:tcPr>
          <w:p>
            <w:pPr>
              <w:spacing w:after="0"/>
            </w:pPr>
            <w:r>
              <w:rPr>
                <w:rFonts w:ascii="Times New Roman" w:hAnsi="Times New Roman"/>
                <w:sz w:val="14"/>
              </w:rPr>
              <w:t>shittim</w:t>
            </w:r>
          </w:p>
        </w:tc>
        <w:tc>
          <w:tcPr>
            <w:tcW w:type="dxa" w:w="3561"/>
            <w:vAlign w:val="top"/>
          </w:tcPr>
          <w:p>
            <w:pPr>
              <w:spacing w:after="0"/>
            </w:pPr>
            <w:r>
              <w:rPr>
                <w:rFonts w:ascii="Times New Roman" w:hAnsi="Times New Roman"/>
                <w:sz w:val="14"/>
              </w:rPr>
              <w:t>Acacia wood.</w:t>
            </w:r>
          </w:p>
        </w:tc>
      </w:tr>
      <w:tr>
        <w:tc>
          <w:tcPr>
            <w:tcW w:type="dxa" w:w="3561"/>
            <w:vAlign w:val="top"/>
          </w:tcPr>
          <w:p>
            <w:pPr>
              <w:spacing w:after="0"/>
            </w:pPr>
            <w:r>
              <w:rPr>
                <w:rFonts w:ascii="Times New Roman" w:hAnsi="Times New Roman"/>
                <w:sz w:val="14"/>
              </w:rPr>
              <w:t>Ex. 25:8</w:t>
            </w:r>
          </w:p>
        </w:tc>
        <w:tc>
          <w:tcPr>
            <w:tcW w:type="dxa" w:w="3561"/>
            <w:vAlign w:val="top"/>
          </w:tcPr>
          <w:p>
            <w:pPr>
              <w:spacing w:after="0"/>
            </w:pPr>
            <w:r>
              <w:rPr>
                <w:rFonts w:ascii="Times New Roman" w:hAnsi="Times New Roman"/>
                <w:sz w:val="14"/>
              </w:rPr>
              <w:t>miqdash / shakan</w:t>
            </w:r>
          </w:p>
        </w:tc>
        <w:tc>
          <w:tcPr>
            <w:tcW w:type="dxa" w:w="3561"/>
            <w:vAlign w:val="top"/>
          </w:tcPr>
          <w:p>
            <w:pPr>
              <w:spacing w:after="0"/>
            </w:pPr>
            <w:r>
              <w:rPr>
                <w:rFonts w:ascii="Times New Roman" w:hAnsi="Times New Roman"/>
                <w:sz w:val="14"/>
              </w:rPr>
              <w:t>Sanctuary/holy place; dwell/tabernacle.</w:t>
            </w:r>
          </w:p>
        </w:tc>
      </w:tr>
      <w:tr>
        <w:tc>
          <w:tcPr>
            <w:tcW w:type="dxa" w:w="3561"/>
            <w:vAlign w:val="top"/>
          </w:tcPr>
          <w:p>
            <w:pPr>
              <w:spacing w:after="0"/>
            </w:pPr>
            <w:r>
              <w:rPr>
                <w:rFonts w:ascii="Times New Roman" w:hAnsi="Times New Roman"/>
                <w:sz w:val="14"/>
              </w:rPr>
              <w:t>Ex. 25:9,40</w:t>
            </w:r>
          </w:p>
        </w:tc>
        <w:tc>
          <w:tcPr>
            <w:tcW w:type="dxa" w:w="3561"/>
            <w:vAlign w:val="top"/>
          </w:tcPr>
          <w:p>
            <w:pPr>
              <w:spacing w:after="0"/>
            </w:pPr>
            <w:r>
              <w:rPr>
                <w:rFonts w:ascii="Times New Roman" w:hAnsi="Times New Roman"/>
                <w:sz w:val="14"/>
              </w:rPr>
              <w:t>tabnith</w:t>
            </w:r>
          </w:p>
        </w:tc>
        <w:tc>
          <w:tcPr>
            <w:tcW w:type="dxa" w:w="3561"/>
            <w:vAlign w:val="top"/>
          </w:tcPr>
          <w:p>
            <w:pPr>
              <w:spacing w:after="0"/>
            </w:pPr>
            <w:r>
              <w:rPr>
                <w:rFonts w:ascii="Times New Roman" w:hAnsi="Times New Roman"/>
                <w:sz w:val="14"/>
              </w:rPr>
              <w:t>Pattern/design/model; Heb. 8:5 cites Ex. 25:40.</w:t>
            </w:r>
          </w:p>
        </w:tc>
      </w:tr>
      <w:tr>
        <w:tc>
          <w:tcPr>
            <w:tcW w:type="dxa" w:w="3561"/>
            <w:vAlign w:val="top"/>
          </w:tcPr>
          <w:p>
            <w:pPr>
              <w:spacing w:after="0"/>
            </w:pPr>
            <w:r>
              <w:rPr>
                <w:rFonts w:ascii="Times New Roman" w:hAnsi="Times New Roman"/>
                <w:sz w:val="14"/>
              </w:rPr>
              <w:t>Ex. 25:10</w:t>
            </w:r>
          </w:p>
        </w:tc>
        <w:tc>
          <w:tcPr>
            <w:tcW w:type="dxa" w:w="3561"/>
            <w:vAlign w:val="top"/>
          </w:tcPr>
          <w:p>
            <w:pPr>
              <w:spacing w:after="0"/>
            </w:pPr>
            <w:r>
              <w:rPr>
                <w:rFonts w:ascii="Times New Roman" w:hAnsi="Times New Roman"/>
                <w:sz w:val="14"/>
              </w:rPr>
              <w:t>aron</w:t>
            </w:r>
          </w:p>
        </w:tc>
        <w:tc>
          <w:tcPr>
            <w:tcW w:type="dxa" w:w="3561"/>
            <w:vAlign w:val="top"/>
          </w:tcPr>
          <w:p>
            <w:pPr>
              <w:spacing w:after="0"/>
            </w:pPr>
            <w:r>
              <w:rPr>
                <w:rFonts w:ascii="Times New Roman" w:hAnsi="Times New Roman"/>
                <w:sz w:val="14"/>
              </w:rPr>
              <w:t>Ark/chest.</w:t>
            </w:r>
          </w:p>
        </w:tc>
      </w:tr>
      <w:tr>
        <w:tc>
          <w:tcPr>
            <w:tcW w:type="dxa" w:w="3561"/>
            <w:vAlign w:val="top"/>
          </w:tcPr>
          <w:p>
            <w:pPr>
              <w:spacing w:after="0"/>
            </w:pPr>
            <w:r>
              <w:rPr>
                <w:rFonts w:ascii="Times New Roman" w:hAnsi="Times New Roman"/>
                <w:sz w:val="14"/>
              </w:rPr>
              <w:t>Ex. 25:11</w:t>
            </w:r>
          </w:p>
        </w:tc>
        <w:tc>
          <w:tcPr>
            <w:tcW w:type="dxa" w:w="3561"/>
            <w:vAlign w:val="top"/>
          </w:tcPr>
          <w:p>
            <w:pPr>
              <w:spacing w:after="0"/>
            </w:pPr>
            <w:r>
              <w:rPr>
                <w:rFonts w:ascii="Times New Roman" w:hAnsi="Times New Roman"/>
                <w:sz w:val="14"/>
              </w:rPr>
              <w:t>zer</w:t>
            </w:r>
          </w:p>
        </w:tc>
        <w:tc>
          <w:tcPr>
            <w:tcW w:type="dxa" w:w="3561"/>
            <w:vAlign w:val="top"/>
          </w:tcPr>
          <w:p>
            <w:pPr>
              <w:spacing w:after="0"/>
            </w:pPr>
            <w:r>
              <w:rPr>
                <w:rFonts w:ascii="Times New Roman" w:hAnsi="Times New Roman"/>
                <w:sz w:val="14"/>
              </w:rPr>
              <w:t>Rim/border/moulding; KJV “crown” need not imply royal diadem.</w:t>
            </w:r>
          </w:p>
        </w:tc>
      </w:tr>
      <w:tr>
        <w:tc>
          <w:tcPr>
            <w:tcW w:type="dxa" w:w="3561"/>
            <w:vAlign w:val="top"/>
          </w:tcPr>
          <w:p>
            <w:pPr>
              <w:spacing w:after="0"/>
            </w:pPr>
            <w:r>
              <w:rPr>
                <w:rFonts w:ascii="Times New Roman" w:hAnsi="Times New Roman"/>
                <w:sz w:val="14"/>
              </w:rPr>
              <w:t>Ex. 25:15</w:t>
            </w:r>
          </w:p>
        </w:tc>
        <w:tc>
          <w:tcPr>
            <w:tcW w:type="dxa" w:w="3561"/>
            <w:vAlign w:val="top"/>
          </w:tcPr>
          <w:p>
            <w:pPr>
              <w:spacing w:after="0"/>
            </w:pPr>
            <w:r>
              <w:rPr>
                <w:rFonts w:ascii="Times New Roman" w:hAnsi="Times New Roman"/>
                <w:sz w:val="14"/>
              </w:rPr>
              <w:t>staves remain</w:t>
            </w:r>
          </w:p>
        </w:tc>
        <w:tc>
          <w:tcPr>
            <w:tcW w:type="dxa" w:w="3561"/>
            <w:vAlign w:val="top"/>
          </w:tcPr>
          <w:p>
            <w:pPr>
              <w:spacing w:after="0"/>
            </w:pPr>
            <w:r>
              <w:rPr>
                <w:rFonts w:ascii="Times New Roman" w:hAnsi="Times New Roman"/>
                <w:sz w:val="14"/>
              </w:rPr>
              <w:t>Explicitly not removed from ark rings.</w:t>
            </w:r>
          </w:p>
        </w:tc>
      </w:tr>
      <w:tr>
        <w:tc>
          <w:tcPr>
            <w:tcW w:type="dxa" w:w="3561"/>
            <w:vAlign w:val="top"/>
          </w:tcPr>
          <w:p>
            <w:pPr>
              <w:spacing w:after="0"/>
            </w:pPr>
            <w:r>
              <w:rPr>
                <w:rFonts w:ascii="Times New Roman" w:hAnsi="Times New Roman"/>
                <w:sz w:val="14"/>
              </w:rPr>
              <w:t>Ex. 25:16</w:t>
            </w:r>
          </w:p>
        </w:tc>
        <w:tc>
          <w:tcPr>
            <w:tcW w:type="dxa" w:w="3561"/>
            <w:vAlign w:val="top"/>
          </w:tcPr>
          <w:p>
            <w:pPr>
              <w:spacing w:after="0"/>
            </w:pPr>
            <w:r>
              <w:rPr>
                <w:rFonts w:ascii="Times New Roman" w:hAnsi="Times New Roman"/>
                <w:sz w:val="14"/>
              </w:rPr>
              <w:t>‘edut</w:t>
            </w:r>
          </w:p>
        </w:tc>
        <w:tc>
          <w:tcPr>
            <w:tcW w:type="dxa" w:w="3561"/>
            <w:vAlign w:val="top"/>
          </w:tcPr>
          <w:p>
            <w:pPr>
              <w:spacing w:after="0"/>
            </w:pPr>
            <w:r>
              <w:rPr>
                <w:rFonts w:ascii="Times New Roman" w:hAnsi="Times New Roman"/>
                <w:sz w:val="14"/>
              </w:rPr>
              <w:t>Testimony.</w:t>
            </w:r>
          </w:p>
        </w:tc>
      </w:tr>
      <w:tr>
        <w:tc>
          <w:tcPr>
            <w:tcW w:type="dxa" w:w="3561"/>
            <w:vAlign w:val="top"/>
          </w:tcPr>
          <w:p>
            <w:pPr>
              <w:spacing w:after="0"/>
            </w:pPr>
            <w:r>
              <w:rPr>
                <w:rFonts w:ascii="Times New Roman" w:hAnsi="Times New Roman"/>
                <w:sz w:val="14"/>
              </w:rPr>
              <w:t>Ex. 25:17</w:t>
            </w:r>
          </w:p>
        </w:tc>
        <w:tc>
          <w:tcPr>
            <w:tcW w:type="dxa" w:w="3561"/>
            <w:vAlign w:val="top"/>
          </w:tcPr>
          <w:p>
            <w:pPr>
              <w:spacing w:after="0"/>
            </w:pPr>
            <w:r>
              <w:rPr>
                <w:rFonts w:ascii="Times New Roman" w:hAnsi="Times New Roman"/>
                <w:sz w:val="14"/>
              </w:rPr>
              <w:t>kapporeth</w:t>
            </w:r>
          </w:p>
        </w:tc>
        <w:tc>
          <w:tcPr>
            <w:tcW w:type="dxa" w:w="3561"/>
            <w:vAlign w:val="top"/>
          </w:tcPr>
          <w:p>
            <w:pPr>
              <w:spacing w:after="0"/>
            </w:pPr>
            <w:r>
              <w:rPr>
                <w:rFonts w:ascii="Times New Roman" w:hAnsi="Times New Roman"/>
                <w:sz w:val="14"/>
              </w:rPr>
              <w:t>Atonement/covering word-family; traditionally mercy seat.</w:t>
            </w:r>
          </w:p>
        </w:tc>
      </w:tr>
      <w:tr>
        <w:tc>
          <w:tcPr>
            <w:tcW w:type="dxa" w:w="3561"/>
            <w:vAlign w:val="top"/>
          </w:tcPr>
          <w:p>
            <w:pPr>
              <w:spacing w:after="0"/>
            </w:pPr>
            <w:r>
              <w:rPr>
                <w:rFonts w:ascii="Times New Roman" w:hAnsi="Times New Roman"/>
                <w:sz w:val="14"/>
              </w:rPr>
              <w:t>Heb. 9:5; Rom. 3:25</w:t>
            </w:r>
          </w:p>
        </w:tc>
        <w:tc>
          <w:tcPr>
            <w:tcW w:type="dxa" w:w="3561"/>
            <w:vAlign w:val="top"/>
          </w:tcPr>
          <w:p>
            <w:pPr>
              <w:spacing w:after="0"/>
            </w:pPr>
            <w:r>
              <w:rPr>
                <w:rFonts w:ascii="Times New Roman" w:hAnsi="Times New Roman"/>
                <w:sz w:val="14"/>
              </w:rPr>
              <w:t>hilasterion</w:t>
            </w:r>
          </w:p>
        </w:tc>
        <w:tc>
          <w:tcPr>
            <w:tcW w:type="dxa" w:w="3561"/>
            <w:vAlign w:val="top"/>
          </w:tcPr>
          <w:p>
            <w:pPr>
              <w:spacing w:after="0"/>
            </w:pPr>
            <w:r>
              <w:rPr>
                <w:rFonts w:ascii="Times New Roman" w:hAnsi="Times New Roman"/>
                <w:sz w:val="14"/>
              </w:rPr>
              <w:t>NT links mercy-cover terminology with atonement in Christ.</w:t>
            </w:r>
          </w:p>
        </w:tc>
      </w:tr>
      <w:tr>
        <w:tc>
          <w:tcPr>
            <w:tcW w:type="dxa" w:w="3561"/>
            <w:vAlign w:val="top"/>
          </w:tcPr>
          <w:p>
            <w:pPr>
              <w:spacing w:after="0"/>
            </w:pPr>
            <w:r>
              <w:rPr>
                <w:rFonts w:ascii="Times New Roman" w:hAnsi="Times New Roman"/>
                <w:sz w:val="14"/>
              </w:rPr>
              <w:t>Ex. 25:18–20</w:t>
            </w:r>
          </w:p>
        </w:tc>
        <w:tc>
          <w:tcPr>
            <w:tcW w:type="dxa" w:w="3561"/>
            <w:vAlign w:val="top"/>
          </w:tcPr>
          <w:p>
            <w:pPr>
              <w:spacing w:after="0"/>
            </w:pPr>
            <w:r>
              <w:rPr>
                <w:rFonts w:ascii="Times New Roman" w:hAnsi="Times New Roman"/>
                <w:sz w:val="14"/>
              </w:rPr>
              <w:t>cherubim</w:t>
            </w:r>
          </w:p>
        </w:tc>
        <w:tc>
          <w:tcPr>
            <w:tcW w:type="dxa" w:w="3561"/>
            <w:vAlign w:val="top"/>
          </w:tcPr>
          <w:p>
            <w:pPr>
              <w:spacing w:after="0"/>
            </w:pPr>
            <w:r>
              <w:rPr>
                <w:rFonts w:ascii="Times New Roman" w:hAnsi="Times New Roman"/>
                <w:sz w:val="14"/>
              </w:rPr>
              <w:t>Form not fully defined here; not simply ordinary winged angels.</w:t>
            </w:r>
          </w:p>
        </w:tc>
      </w:tr>
      <w:tr>
        <w:tc>
          <w:tcPr>
            <w:tcW w:type="dxa" w:w="3561"/>
            <w:vAlign w:val="top"/>
          </w:tcPr>
          <w:p>
            <w:pPr>
              <w:spacing w:after="0"/>
            </w:pPr>
            <w:r>
              <w:rPr>
                <w:rFonts w:ascii="Times New Roman" w:hAnsi="Times New Roman"/>
                <w:sz w:val="14"/>
              </w:rPr>
              <w:t>Ex. 25:22</w:t>
            </w:r>
          </w:p>
        </w:tc>
        <w:tc>
          <w:tcPr>
            <w:tcW w:type="dxa" w:w="3561"/>
            <w:vAlign w:val="top"/>
          </w:tcPr>
          <w:p>
            <w:pPr>
              <w:spacing w:after="0"/>
            </w:pPr>
            <w:r>
              <w:rPr>
                <w:rFonts w:ascii="Times New Roman" w:hAnsi="Times New Roman"/>
                <w:sz w:val="14"/>
              </w:rPr>
              <w:t>ya‘ad</w:t>
            </w:r>
          </w:p>
        </w:tc>
        <w:tc>
          <w:tcPr>
            <w:tcW w:type="dxa" w:w="3561"/>
            <w:vAlign w:val="top"/>
          </w:tcPr>
          <w:p>
            <w:pPr>
              <w:spacing w:after="0"/>
            </w:pPr>
            <w:r>
              <w:rPr>
                <w:rFonts w:ascii="Times New Roman" w:hAnsi="Times New Roman"/>
                <w:sz w:val="14"/>
              </w:rPr>
              <w:t>Meet at an appointed place.</w:t>
            </w:r>
          </w:p>
        </w:tc>
      </w:tr>
      <w:tr>
        <w:tc>
          <w:tcPr>
            <w:tcW w:type="dxa" w:w="3561"/>
            <w:vAlign w:val="top"/>
          </w:tcPr>
          <w:p>
            <w:pPr>
              <w:spacing w:after="0"/>
            </w:pPr>
            <w:r>
              <w:rPr>
                <w:rFonts w:ascii="Times New Roman" w:hAnsi="Times New Roman"/>
                <w:sz w:val="14"/>
              </w:rPr>
              <w:t>Ex. 25:30</w:t>
            </w:r>
          </w:p>
        </w:tc>
        <w:tc>
          <w:tcPr>
            <w:tcW w:type="dxa" w:w="3561"/>
            <w:vAlign w:val="top"/>
          </w:tcPr>
          <w:p>
            <w:pPr>
              <w:spacing w:after="0"/>
            </w:pPr>
            <w:r>
              <w:rPr>
                <w:rFonts w:ascii="Times New Roman" w:hAnsi="Times New Roman"/>
                <w:sz w:val="14"/>
              </w:rPr>
              <w:t>lechem panim</w:t>
            </w:r>
          </w:p>
        </w:tc>
        <w:tc>
          <w:tcPr>
            <w:tcW w:type="dxa" w:w="3561"/>
            <w:vAlign w:val="top"/>
          </w:tcPr>
          <w:p>
            <w:pPr>
              <w:spacing w:after="0"/>
            </w:pPr>
            <w:r>
              <w:rPr>
                <w:rFonts w:ascii="Times New Roman" w:hAnsi="Times New Roman"/>
                <w:sz w:val="14"/>
              </w:rPr>
              <w:t>Bread of the Presence/Face.</w:t>
            </w:r>
          </w:p>
        </w:tc>
      </w:tr>
      <w:tr>
        <w:tc>
          <w:tcPr>
            <w:tcW w:type="dxa" w:w="3561"/>
            <w:vAlign w:val="top"/>
          </w:tcPr>
          <w:p>
            <w:pPr>
              <w:spacing w:after="0"/>
            </w:pPr>
            <w:r>
              <w:rPr>
                <w:rFonts w:ascii="Times New Roman" w:hAnsi="Times New Roman"/>
                <w:sz w:val="14"/>
              </w:rPr>
              <w:t>Ex. 25:31</w:t>
            </w:r>
          </w:p>
        </w:tc>
        <w:tc>
          <w:tcPr>
            <w:tcW w:type="dxa" w:w="3561"/>
            <w:vAlign w:val="top"/>
          </w:tcPr>
          <w:p>
            <w:pPr>
              <w:spacing w:after="0"/>
            </w:pPr>
            <w:r>
              <w:rPr>
                <w:rFonts w:ascii="Times New Roman" w:hAnsi="Times New Roman"/>
                <w:sz w:val="14"/>
              </w:rPr>
              <w:t>menorah</w:t>
            </w:r>
          </w:p>
        </w:tc>
        <w:tc>
          <w:tcPr>
            <w:tcW w:type="dxa" w:w="3561"/>
            <w:vAlign w:val="top"/>
          </w:tcPr>
          <w:p>
            <w:pPr>
              <w:spacing w:after="0"/>
            </w:pPr>
            <w:r>
              <w:rPr>
                <w:rFonts w:ascii="Times New Roman" w:hAnsi="Times New Roman"/>
                <w:sz w:val="14"/>
              </w:rPr>
              <w:t>Lampstand, not wax candlestick.</w:t>
            </w:r>
          </w:p>
        </w:tc>
      </w:tr>
      <w:tr>
        <w:tc>
          <w:tcPr>
            <w:tcW w:type="dxa" w:w="3561"/>
            <w:vAlign w:val="top"/>
          </w:tcPr>
          <w:p>
            <w:pPr>
              <w:spacing w:after="0"/>
            </w:pPr>
            <w:r>
              <w:rPr>
                <w:rFonts w:ascii="Times New Roman" w:hAnsi="Times New Roman"/>
                <w:sz w:val="14"/>
              </w:rPr>
              <w:t>Ex. 25:33</w:t>
            </w:r>
          </w:p>
        </w:tc>
        <w:tc>
          <w:tcPr>
            <w:tcW w:type="dxa" w:w="3561"/>
            <w:vAlign w:val="top"/>
          </w:tcPr>
          <w:p>
            <w:pPr>
              <w:spacing w:after="0"/>
            </w:pPr>
            <w:r>
              <w:rPr>
                <w:rFonts w:ascii="Times New Roman" w:hAnsi="Times New Roman"/>
                <w:sz w:val="14"/>
              </w:rPr>
              <w:t>shaked</w:t>
            </w:r>
          </w:p>
        </w:tc>
        <w:tc>
          <w:tcPr>
            <w:tcW w:type="dxa" w:w="3561"/>
            <w:vAlign w:val="top"/>
          </w:tcPr>
          <w:p>
            <w:pPr>
              <w:spacing w:after="0"/>
            </w:pPr>
            <w:r>
              <w:rPr>
                <w:rFonts w:ascii="Times New Roman" w:hAnsi="Times New Roman"/>
                <w:sz w:val="14"/>
              </w:rPr>
              <w:t>Almond; watchfulness wordplay explicit in Jer. 1:11–12.</w:t>
            </w:r>
          </w:p>
        </w:tc>
      </w:tr>
      <w:tr>
        <w:tc>
          <w:tcPr>
            <w:tcW w:type="dxa" w:w="3561"/>
            <w:vAlign w:val="top"/>
          </w:tcPr>
          <w:p>
            <w:pPr>
              <w:spacing w:after="0"/>
            </w:pPr>
            <w:r>
              <w:rPr>
                <w:rFonts w:ascii="Times New Roman" w:hAnsi="Times New Roman"/>
                <w:sz w:val="14"/>
              </w:rPr>
              <w:t>Ex. 25:39</w:t>
            </w:r>
          </w:p>
        </w:tc>
        <w:tc>
          <w:tcPr>
            <w:tcW w:type="dxa" w:w="3561"/>
            <w:vAlign w:val="top"/>
          </w:tcPr>
          <w:p>
            <w:pPr>
              <w:spacing w:after="0"/>
            </w:pPr>
            <w:r>
              <w:rPr>
                <w:rFonts w:ascii="Times New Roman" w:hAnsi="Times New Roman"/>
                <w:sz w:val="14"/>
              </w:rPr>
              <w:t>talent</w:t>
            </w:r>
          </w:p>
        </w:tc>
        <w:tc>
          <w:tcPr>
            <w:tcW w:type="dxa" w:w="3561"/>
            <w:vAlign w:val="top"/>
          </w:tcPr>
          <w:p>
            <w:pPr>
              <w:spacing w:after="0"/>
            </w:pPr>
            <w:r>
              <w:rPr>
                <w:rFonts w:ascii="Times New Roman" w:hAnsi="Times New Roman"/>
                <w:sz w:val="14"/>
              </w:rPr>
              <w:t>Large weight unit; exact modern conversion uncertain.</w:t>
            </w:r>
          </w:p>
        </w:tc>
      </w:tr>
    </w:tbl>
    <w:p>
      <w:pPr>
        <w:pStyle w:val="Heading1"/>
      </w:pPr>
      <w:r>
        <w:t>RESIDUAL UNCERTAINTIES</w:t>
      </w:r>
    </w:p>
    <w:p>
      <w:pPr/>
      <w:r>
        <w:rPr>
          <w:i w:val="0"/>
        </w:rPr>
        <w:t>The identity of tachash skins remains uncertain, as do some ancient colour/material details and the precise modern weight of a talent. The exact appearance of the cherubim is not fully described in Exodus 25. Mansfield’s detailed material-symbol system is retained as typology, not presented as a set of lexical definitions.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25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4"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6" w:after="16"/>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6" w:after="16"/>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