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2</w:t>
      </w:r>
    </w:p>
    <w:p>
      <w:pPr>
        <w:pStyle w:val="Subtitle"/>
        <w:jc w:val="center"/>
      </w:pPr>
      <w:r>
        <w:t>THE SEVENTH DAY • THE GARDEN IN EDEN • FORMATION OF WOMAN</w:t>
      </w:r>
    </w:p>
    <w:p>
      <w:pPr>
        <w:jc w:val="center"/>
      </w:pPr>
      <w:r>
        <w:rPr>
          <w:i/>
          <w:sz w:val="19"/>
        </w:rPr>
        <w:t>H. P. Mansfield Bible notes — checked and arranged in verse-by-verse Expositor style</w:t>
      </w:r>
    </w:p>
    <w:p>
      <w:pPr>
        <w:jc w:val="center"/>
      </w:pPr>
      <w:r>
        <w:rPr>
          <w:sz w:val="17"/>
        </w:rPr>
        <w:t>Source: HPB 01-Gen01-Gen41.PDF, Genesis 2 material on PDF pages 39 and 42</w:t>
      </w:r>
    </w:p>
    <w:p>
      <w:pPr>
        <w:pStyle w:val="Heading1"/>
      </w:pPr>
      <w:r>
        <w:t>CHAPTER FRAMEWORK</w:t>
      </w:r>
    </w:p>
    <w:p>
      <w:r>
        <w:t>The chapter closes the creation account with the seventh day, then opens the history of “the generations of the heavens and of the earth.” Mansfield marks two major divisions: “THE GARDEN IN EDEN — vv. 8–14” and “FORMATION OF WOMAN — vv. 18–25.”</w:t>
      </w:r>
    </w:p>
    <w:p>
      <w:r>
        <w:t>The notes observe that the seven-day week became a chronological basis of human life and point to its antiquity among widely separated peoples. Genesis 2:4 onward is labelled “THE GENERATION OF HEAVEN + EARTH,” reflecting Mansfield’s use of the recurring “generations of” or toledoth formula as a structural key to Genesis.</w:t>
      </w:r>
    </w:p>
    <w:p>
      <w:pPr>
        <w:pStyle w:val="Heading2"/>
      </w:pPr>
      <w:r>
        <w:t>Genesis 2:1 — “Thus the heavens and the earth were finished...”</w:t>
      </w:r>
    </w:p>
    <w:p>
      <w:r>
        <w:t>“Heavens,” “earth,” “finished,” and “host” are strongly marked. The Hebrew kalah is noted with the linked ideas of cessation and completeness. The verse is treated as the completion of the ordering work begun in Genesis 1.</w:t>
      </w:r>
    </w:p>
    <w:p>
      <w:pPr>
        <w:pStyle w:val="Heading2"/>
      </w:pPr>
      <w:r>
        <w:t>Genesis 2:2 — “on the seventh day God ended his work... and he rested”</w:t>
      </w:r>
    </w:p>
    <w:p>
      <w:r>
        <w:t>“Seventh,” “ended,” “work,” “rested,” and “all his work” are marked. The emphasis is cessation from completed work, not recovery from exhaustion.</w:t>
      </w:r>
    </w:p>
    <w:p>
      <w:r>
        <w:t>The obscured Sabbath word-note can be recovered from Mansfield’s published Expositor: “rested” is linked with the Hebrew verb shahvath, “to cease” or “desist,” from which the noun shabbath (Sabbath) is derived.</w:t>
      </w:r>
    </w:p>
    <w:p>
      <w:pPr>
        <w:pStyle w:val="Heading2"/>
      </w:pPr>
      <w:r>
        <w:t>Genesis 2:3 — “God blessed the seventh day, and sanctified it”</w:t>
      </w:r>
    </w:p>
    <w:p>
      <w:r>
        <w:t>“Blessed” and “sanctified” are heavily marked. Mansfield connects the verse with Moses’ later explanation of the Sabbath under the Law. Colossians 2:16 is correctly cited in the marginal material in relation to the superseding of Mosaic Sabbath observance in Christ.</w:t>
      </w:r>
    </w:p>
    <w:p>
      <w:pPr>
        <w:pStyle w:val="Heading2"/>
      </w:pPr>
      <w:r>
        <w:t>Genesis 2:4 — “These are the generations of the heavens and of the earth...”</w:t>
      </w:r>
    </w:p>
    <w:p>
      <w:r>
        <w:t>“Generations” and “LORD God” are marked. Mansfield treats this as the first occurrence in Genesis of the Memorial/Covenant Name in the form “LORD God,” linking it with the divine purpose to fill the earth with glory.</w:t>
      </w:r>
    </w:p>
    <w:p>
      <w:r>
        <w:t>“The generations of” is used as a structural key to the book. The Hebrew term is toledoth, introducing successive histories or accounts.</w:t>
      </w:r>
    </w:p>
    <w:p>
      <w:pPr>
        <w:pStyle w:val="Heading2"/>
      </w:pPr>
      <w:r>
        <w:t>Genesis 2:5 — “every plant of the field before it was in the earth...”</w:t>
      </w:r>
    </w:p>
    <w:p>
      <w:r>
        <w:t>“Plant of the field” and “herb of the field” are marked. Several tiny references beside the verse remain too faint to reproduce responsibly.</w:t>
      </w:r>
    </w:p>
    <w:p>
      <w:pPr>
        <w:pStyle w:val="Heading2"/>
      </w:pPr>
      <w:r>
        <w:t>Genesis 2:6 — “there went up a mist from the earth...”</w:t>
      </w:r>
    </w:p>
    <w:p>
      <w:r>
        <w:t>“Mist” and “watered the whole face of the ground” are marked. The handwritten note refers to a marginal or alternative understanding involving a rising water-source or spring, but its exact wording is compressed and not sufficiently clear to restore. Mansfield’s published Expositor discusses evaporation and the subsequent watering of the earth; because that is not necessarily identical with the handwritten marginal note, the manuscript reading is left unresolved rather than silently replaced.</w:t>
      </w:r>
    </w:p>
    <w:p>
      <w:pPr>
        <w:pStyle w:val="Heading2"/>
      </w:pPr>
      <w:r>
        <w:t>Genesis 2:7 — “the LORD God formed man of the dust of the ground...”</w:t>
      </w:r>
    </w:p>
    <w:p>
      <w:r>
        <w:t>“Formed,” “dust of the ground,” “breathed into his nostrils,” “breath of life,” and “living soul” are heavily marked. Mansfield glosses “formed” as “moulded”: man was formed from dust or clay and then received the breath of life.</w:t>
      </w:r>
    </w:p>
    <w:p>
      <w:r>
        <w:t>“NO EVOLUTION!” is written prominently. Mansfield also writes “So did animals,” linking “living soul” with animal life as well as man; the expression is therefore not treated as describing an inherently immortal entity.</w:t>
      </w:r>
    </w:p>
    <w:p>
      <w:pPr>
        <w:pStyle w:val="Heading2"/>
      </w:pPr>
      <w:r>
        <w:t>Genesis 2:8 — “the LORD God planted a garden eastward in Eden”</w:t>
      </w:r>
    </w:p>
    <w:p>
      <w:r>
        <w:t>“Garden eastward in Eden” is marked. The geographical references Isaiah 37:12, 2 Kings 19:12, and Amos 1:5 are all appropriate: each preserves the name Eden in a geographical setting. Mansfield also has a note headed “Archaeology in Eden.”</w:t>
      </w:r>
    </w:p>
    <w:p>
      <w:pPr>
        <w:pStyle w:val="Heading2"/>
      </w:pPr>
      <w:r>
        <w:t>Genesis 2:9 — “the tree of life... and the tree of knowledge of good and evil”</w:t>
      </w:r>
    </w:p>
    <w:p>
      <w:r>
        <w:t>“Pleasant to the sight,” “good for food,” “tree of life,” and “tree of knowledge of good and evil” are strongly marked. The two trees are central to the Eden narrative and to Mansfield’s Genesis/Revelation comparison: access to the tree is denied in Genesis and restored in Revelation.</w:t>
      </w:r>
    </w:p>
    <w:p>
      <w:pPr>
        <w:pStyle w:val="Heading2"/>
      </w:pPr>
      <w:r>
        <w:t>Genesis 2:10 — “a river went out of Eden to water the garden”</w:t>
      </w:r>
    </w:p>
    <w:p>
      <w:r>
        <w:t>“A river went out of Eden,” “water,” “parted,” and “four heads” are marked. The river introduces the geographical discussion of verses 11–14.</w:t>
      </w:r>
    </w:p>
    <w:p>
      <w:pPr>
        <w:pStyle w:val="Heading2"/>
      </w:pPr>
      <w:r>
        <w:t>Genesis 2:11 — “The name of the first is Pison...”</w:t>
      </w:r>
    </w:p>
    <w:p>
      <w:r>
        <w:t>Under “THE GARDEN IN EDEN — vv. 8–14,” “first,” “compasseth,” and “Havilah” are marked. Mansfield notes that the Garden of Delight supplied everything man needed, aesthetically as well as physically.</w:t>
      </w:r>
    </w:p>
    <w:p>
      <w:pPr>
        <w:pStyle w:val="Heading2"/>
      </w:pPr>
      <w:r>
        <w:t>Genesis 2:12 — “the gold of that land is good...”</w:t>
      </w:r>
    </w:p>
    <w:p>
      <w:r>
        <w:t>“Gold,” “bdellium,” and “onyx stone” are marked. Several small cross-references in the margin remain too faint to recover confidently.</w:t>
      </w:r>
    </w:p>
    <w:p>
      <w:pPr>
        <w:pStyle w:val="Heading2"/>
      </w:pPr>
      <w:r>
        <w:t>Genesis 2:13 — “the name of the second river is Gihon”</w:t>
      </w:r>
    </w:p>
    <w:p>
      <w:r>
        <w:t>“Gihon” is marked. Mansfield directs the reader to another note elsewhere in the Bible, but the precise page or reference is not fully legible.</w:t>
      </w:r>
    </w:p>
    <w:p>
      <w:pPr>
        <w:pStyle w:val="Heading2"/>
      </w:pPr>
      <w:r>
        <w:t>Genesis 2:14 — “the third river is Hiddekel... the fourth river is Euphrates”</w:t>
      </w:r>
    </w:p>
    <w:p>
      <w:r>
        <w:t>“Hiddekel,” “toward,” “Assyria,” and “Euphrates” are marked. Mansfield discusses the Eden rivers and relates river imagery to prophetic water-of-life passages. His geographical reconstruction broadly explores Armenia, Babylonia, Assyria and the great river systems without reducing the note to one dogmatic location.</w:t>
      </w:r>
    </w:p>
    <w:p>
      <w:r>
        <w:t>Several details of the river-identification argument remain partly obscured.</w:t>
      </w:r>
    </w:p>
    <w:p>
      <w:pPr>
        <w:pStyle w:val="Heading2"/>
      </w:pPr>
      <w:r>
        <w:t>Genesis 2:15 — “to dress it and to keep it”</w:t>
      </w:r>
    </w:p>
    <w:p>
      <w:r>
        <w:t>“Dress it” and “keep it” are highlighted. Mansfield stresses man’s responsibility to cultivate, tend and guard the garden. The standard Hebrew behind “keep” is shamar, “to guard / preserve”; the published Expositor uses the same verb elsewhere in the Eden narrative. The exact handwriting beside this verse itself is not clear enough to establish every lexical detail.</w:t>
      </w:r>
    </w:p>
    <w:p>
      <w:pPr>
        <w:pStyle w:val="Heading2"/>
      </w:pPr>
      <w:r>
        <w:t>Genesis 2:16 — “Of every tree of the garden thou mayest freely eat”</w:t>
      </w:r>
    </w:p>
    <w:p>
      <w:r>
        <w:t>“Commanded” and “freely eat” are marked. Mansfield emphasises the breadth of the permission before the single restriction of verse 17.</w:t>
      </w:r>
    </w:p>
    <w:p>
      <w:pPr>
        <w:pStyle w:val="Heading2"/>
      </w:pPr>
      <w:r>
        <w:t>Genesis 2:17 — “of the tree of the knowledge of good and evil, thou shalt not eat”</w:t>
      </w:r>
    </w:p>
    <w:p>
      <w:r>
        <w:t>“Tree of the knowledge of good and evil,” “in the day,” and “thou shalt surely die” are strongly marked. The previously uncertain Hebrew construction can be recovered as the emphatic idiom “dying thou shalt die.” Mansfield’s published Expositor explicitly notes that there is no separate Hebrew word corresponding to English “surely”; the force comes from the doubled verbal construction.</w:t>
      </w:r>
    </w:p>
    <w:p>
      <w:r>
        <w:t>The command is treated as the decisive test of obedience in Eden.</w:t>
      </w:r>
    </w:p>
    <w:p>
      <w:pPr>
        <w:pStyle w:val="Heading2"/>
      </w:pPr>
      <w:r>
        <w:t>Genesis 2:18 — “It is not good that the man should be alone...”</w:t>
      </w:r>
    </w:p>
    <w:p>
      <w:r>
        <w:t>“Not good,” “alone,” and “help meet for him” are marked. This begins the “FORMATION OF WOMAN” section.</w:t>
      </w:r>
    </w:p>
    <w:p>
      <w:r>
        <w:t>The Hebrew ezer kenegdo is recovered in Mansfield’s Expositor as literally “one as his front,” hence one corresponding to him — his counterpart. Mansfield cites the sense “a help fit for him”: not merely another creature alongside Adam, but a companion capable of correspondence with him.</w:t>
      </w:r>
    </w:p>
    <w:p>
      <w:pPr>
        <w:pStyle w:val="Heading2"/>
      </w:pPr>
      <w:r>
        <w:t>Genesis 2:19 — “the LORD God formed every beast... and brought them unto Adam”</w:t>
      </w:r>
    </w:p>
    <w:p>
      <w:r>
        <w:t>“Formed every beast” and “brought them unto Adam” are marked. The naming of the animals is treated as an exercise of discernment and authority, also bringing home to Adam that the animal creation did not supply a true counterpart for him.</w:t>
      </w:r>
    </w:p>
    <w:p>
      <w:pPr>
        <w:pStyle w:val="Heading2"/>
      </w:pPr>
      <w:r>
        <w:t>Genesis 2:20 — “Adam gave names... but for Adam there was not found an help meet for him”</w:t>
      </w:r>
    </w:p>
    <w:p>
      <w:r>
        <w:t>“Gave names” and “not found an help meet for him” are emphasised. Mansfield uses the inadequacy of the animals as Adam’s counterpart to prepare for the formation of woman.</w:t>
      </w:r>
    </w:p>
    <w:p>
      <w:pPr>
        <w:pStyle w:val="Heading2"/>
      </w:pPr>
      <w:r>
        <w:t>Genesis 2:21 — “the LORD God caused a deep sleep to fall upon Adam...”</w:t>
      </w:r>
    </w:p>
    <w:p>
      <w:r>
        <w:t>“Deep sleep,” “one of his ribs,” and the closing of the flesh are marked. A further handwritten note gives cross-references to the significance of the action, but several words and references remain too indistinct to reproduce safely.</w:t>
      </w:r>
    </w:p>
    <w:p>
      <w:pPr>
        <w:pStyle w:val="Heading2"/>
      </w:pPr>
      <w:r>
        <w:t>Genesis 2:22 — “the rib... made he a woman, and brought her unto the man”</w:t>
      </w:r>
    </w:p>
    <w:p>
      <w:r>
        <w:t>“Made he a woman” and “brought her unto the man” are marked. The marginal note presents the woman as formed in correspondence with the man, continuing the counterpart theme of verse 18.</w:t>
      </w:r>
    </w:p>
    <w:p>
      <w:pPr>
        <w:pStyle w:val="Heading2"/>
      </w:pPr>
      <w:r>
        <w:t>Genesis 2:23 — “bone of my bones, and flesh of my flesh”</w:t>
      </w:r>
    </w:p>
    <w:p>
      <w:r>
        <w:t>“Bone of my bones,” “flesh of my flesh,” “Woman,” and “Man” are marked. The note stresses their common nature and reciprocal relationship.</w:t>
      </w:r>
    </w:p>
    <w:p>
      <w:pPr>
        <w:pStyle w:val="Heading2"/>
      </w:pPr>
      <w:r>
        <w:t>Genesis 2:24 — “a man shall leave his father and his mother, and shall cleave unto his wife”</w:t>
      </w:r>
    </w:p>
    <w:p>
      <w:r>
        <w:t>Under “FORMATION OF WOMAN — vv. 18–25,” Mansfield lists qualities developed within marriage and family life:</w:t>
      </w:r>
    </w:p>
    <w:p>
      <w:pPr>
        <w:pStyle w:val="ListBullet"/>
        <w:spacing w:after="40"/>
      </w:pPr>
      <w:r>
        <w:t>unselfish love;</w:t>
      </w:r>
    </w:p>
    <w:p>
      <w:pPr>
        <w:pStyle w:val="ListBullet"/>
        <w:spacing w:after="40"/>
      </w:pPr>
      <w:r>
        <w:t>consideration for others;</w:t>
      </w:r>
    </w:p>
    <w:p>
      <w:pPr>
        <w:pStyle w:val="ListBullet"/>
        <w:spacing w:after="40"/>
      </w:pPr>
      <w:r>
        <w:t>co-operation;</w:t>
      </w:r>
    </w:p>
    <w:p>
      <w:pPr>
        <w:pStyle w:val="ListBullet"/>
        <w:spacing w:after="40"/>
      </w:pPr>
      <w:r>
        <w:t>responsibility;</w:t>
      </w:r>
    </w:p>
    <w:p>
      <w:pPr>
        <w:pStyle w:val="ListBullet"/>
        <w:spacing w:after="40"/>
      </w:pPr>
      <w:r>
        <w:t>mutual sympathy.</w:t>
      </w:r>
    </w:p>
    <w:p>
      <w:r>
        <w:t>He says these are developed through family and children. “One flesh” is marked as the result of the union.</w:t>
      </w:r>
    </w:p>
    <w:p>
      <w:pPr>
        <w:pStyle w:val="Heading2"/>
      </w:pPr>
      <w:r>
        <w:t>Genesis 2:25 — “they were both naked... and were not ashamed”</w:t>
      </w:r>
    </w:p>
    <w:p>
      <w:r>
        <w:t>Mansfield describes the woman as “fit for him” — matching him, his counterpart — so that the two correspond and become one whole. Ezer kenegdo conveys a corresponding helper or exact counterpart, sharing a common nature and capable of responsive affection, mind, intellect, thoughts and aspirations.</w:t>
      </w:r>
    </w:p>
    <w:p>
      <w:r>
        <w:t>A small additional reference attached to the verse remains unreadable.</w:t>
      </w:r>
    </w:p>
    <w:p>
      <w:pPr>
        <w:pStyle w:val="Heading1"/>
      </w:pPr>
      <w:r>
        <w:t>INSERTED GENESIS OVERVIEW</w:t>
      </w:r>
    </w:p>
    <w:p>
      <w:r>
        <w:t>An inserted page between the photographed leaves is headed “GENESIS: The Book of Beginnings.” It gives the Hebrew title Bereshith — “In the beginning” — and describes Genesis as the “seed-plot” of the whole Bible.</w:t>
      </w:r>
    </w:p>
    <w:p>
      <w:r>
        <w:t>Primeval history (chapters 1–11) is summarised by four events: Creation — divine glory in natural creation; the Fall — divine authority in punishment; the Flood — divine judgment; confusion of tongues — divine wisdom in enforcing His will.</w:t>
      </w:r>
    </w:p>
    <w:p>
      <w:r>
        <w:t>Patriarchal history (chapters 12–50) is summarised by four people: Abraham — divine call; Isaac — divine birth; Jacob — divine care; Joseph — divine elevation to power.</w:t>
      </w:r>
    </w:p>
    <w:p>
      <w:pPr>
        <w:pStyle w:val="Heading1"/>
      </w:pPr>
      <w:r>
        <w:t>PRINCIPAL THEMES</w:t>
      </w:r>
    </w:p>
    <w:p>
      <w:pPr>
        <w:spacing w:after="60"/>
      </w:pPr>
      <w:r>
        <w:rPr>
          <w:b/>
        </w:rPr>
        <w:t xml:space="preserve">Completion and cessation. </w:t>
      </w:r>
      <w:r>
        <w:t>The seventh day marks the finished work; kalah carries completion and cessation.</w:t>
      </w:r>
    </w:p>
    <w:p>
      <w:pPr>
        <w:spacing w:after="60"/>
      </w:pPr>
      <w:r>
        <w:rPr>
          <w:b/>
        </w:rPr>
        <w:t xml:space="preserve">The Memorial Name and purpose. </w:t>
      </w:r>
      <w:r>
        <w:t>“LORD God” is connected with Yahweh’s purpose in the earth.</w:t>
      </w:r>
    </w:p>
    <w:p>
      <w:pPr>
        <w:spacing w:after="60"/>
      </w:pPr>
      <w:r>
        <w:rPr>
          <w:b/>
        </w:rPr>
        <w:t xml:space="preserve">Man is formed, not evolved. </w:t>
      </w:r>
      <w:r>
        <w:t>The notes explicitly reject an evolutionary reading and stress dust or clay plus divine breath.</w:t>
      </w:r>
    </w:p>
    <w:p>
      <w:pPr>
        <w:spacing w:after="60"/>
      </w:pPr>
      <w:r>
        <w:rPr>
          <w:b/>
        </w:rPr>
        <w:t xml:space="preserve">A living soul. </w:t>
      </w:r>
      <w:r>
        <w:t>The expression is applied to animal life as well as man and is not used as proof of inherent immortality.</w:t>
      </w:r>
    </w:p>
    <w:p>
      <w:pPr>
        <w:spacing w:after="60"/>
      </w:pPr>
      <w:r>
        <w:rPr>
          <w:b/>
        </w:rPr>
        <w:t xml:space="preserve">Eden as provision. </w:t>
      </w:r>
      <w:r>
        <w:t>Beauty, food, water and responsible service are all provided.</w:t>
      </w:r>
    </w:p>
    <w:p>
      <w:pPr>
        <w:spacing w:after="60"/>
      </w:pPr>
      <w:r>
        <w:rPr>
          <w:b/>
        </w:rPr>
        <w:t xml:space="preserve">Freedom under command. </w:t>
      </w:r>
      <w:r>
        <w:t>Wide permission is bounded by one clear prohibition.</w:t>
      </w:r>
    </w:p>
    <w:p>
      <w:pPr>
        <w:spacing w:after="60"/>
      </w:pPr>
      <w:r>
        <w:rPr>
          <w:b/>
        </w:rPr>
        <w:t xml:space="preserve">Correspondence in marriage. </w:t>
      </w:r>
      <w:r>
        <w:t>Woman is the fitting counterpart of man.</w:t>
      </w:r>
    </w:p>
    <w:p>
      <w:pPr>
        <w:spacing w:after="60"/>
      </w:pPr>
      <w:r>
        <w:rPr>
          <w:b/>
        </w:rPr>
        <w:t xml:space="preserve">Family as moral training. </w:t>
      </w:r>
      <w:r>
        <w:t>Love, sympathy, co-operation and responsibility are cultivated in family life.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389"/>
        <w:gridCol w:w="3389"/>
        <w:gridCol w:w="3389"/>
      </w:tblGrid>
      <w:tr>
        <w:tc>
          <w:tcPr>
            <w:tcW w:type="dxa" w:w="3389"/>
          </w:tcPr>
          <w:p>
            <w:r>
              <w:rPr>
                <w:rFonts w:ascii="Times New Roman" w:hAnsi="Times New Roman"/>
                <w:b/>
                <w:sz w:val="18"/>
              </w:rPr>
              <w:t>Location</w:t>
            </w:r>
          </w:p>
        </w:tc>
        <w:tc>
          <w:tcPr>
            <w:tcW w:type="dxa" w:w="3389"/>
          </w:tcPr>
          <w:p>
            <w:r>
              <w:rPr>
                <w:rFonts w:ascii="Times New Roman" w:hAnsi="Times New Roman"/>
                <w:b/>
                <w:sz w:val="18"/>
              </w:rPr>
              <w:t>Checked / corrected reading</w:t>
            </w:r>
          </w:p>
        </w:tc>
        <w:tc>
          <w:tcPr>
            <w:tcW w:type="dxa" w:w="3389"/>
          </w:tcPr>
          <w:p>
            <w:r>
              <w:rPr>
                <w:rFonts w:ascii="Times New Roman" w:hAnsi="Times New Roman"/>
                <w:b/>
                <w:sz w:val="18"/>
              </w:rPr>
              <w:t>Basis</w:t>
            </w:r>
          </w:p>
        </w:tc>
      </w:tr>
      <w:tr>
        <w:tc>
          <w:tcPr>
            <w:tcW w:type="dxa" w:w="3389"/>
            <w:vAlign w:val="top"/>
          </w:tcPr>
          <w:p>
            <w:r>
              <w:rPr>
                <w:rFonts w:ascii="Times New Roman" w:hAnsi="Times New Roman"/>
                <w:sz w:val="17"/>
              </w:rPr>
              <w:t>Gen. 2:2</w:t>
            </w:r>
          </w:p>
        </w:tc>
        <w:tc>
          <w:tcPr>
            <w:tcW w:type="dxa" w:w="3389"/>
            <w:vAlign w:val="top"/>
          </w:tcPr>
          <w:p>
            <w:r>
              <w:rPr>
                <w:rFonts w:ascii="Times New Roman" w:hAnsi="Times New Roman"/>
                <w:sz w:val="17"/>
              </w:rPr>
              <w:t>shahvath → shabbath</w:t>
            </w:r>
          </w:p>
        </w:tc>
        <w:tc>
          <w:tcPr>
            <w:tcW w:type="dxa" w:w="3389"/>
            <w:vAlign w:val="top"/>
          </w:tcPr>
          <w:p>
            <w:r>
              <w:rPr>
                <w:rFonts w:ascii="Times New Roman" w:hAnsi="Times New Roman"/>
                <w:sz w:val="17"/>
              </w:rPr>
              <w:t>Published Mansfield Expositor: “rested” = cease/desist; shabbath derives from the same root.</w:t>
            </w:r>
          </w:p>
        </w:tc>
      </w:tr>
      <w:tr>
        <w:tc>
          <w:tcPr>
            <w:tcW w:type="dxa" w:w="3389"/>
            <w:vAlign w:val="top"/>
          </w:tcPr>
          <w:p>
            <w:r>
              <w:rPr>
                <w:rFonts w:ascii="Times New Roman" w:hAnsi="Times New Roman"/>
                <w:sz w:val="17"/>
              </w:rPr>
              <w:t>Gen. 2:3</w:t>
            </w:r>
          </w:p>
        </w:tc>
        <w:tc>
          <w:tcPr>
            <w:tcW w:type="dxa" w:w="3389"/>
            <w:vAlign w:val="top"/>
          </w:tcPr>
          <w:p>
            <w:r>
              <w:rPr>
                <w:rFonts w:ascii="Times New Roman" w:hAnsi="Times New Roman"/>
                <w:sz w:val="17"/>
              </w:rPr>
              <w:t>Colossians 2:16</w:t>
            </w:r>
          </w:p>
        </w:tc>
        <w:tc>
          <w:tcPr>
            <w:tcW w:type="dxa" w:w="3389"/>
            <w:vAlign w:val="top"/>
          </w:tcPr>
          <w:p>
            <w:r>
              <w:rPr>
                <w:rFonts w:ascii="Times New Roman" w:hAnsi="Times New Roman"/>
                <w:sz w:val="17"/>
              </w:rPr>
              <w:t>Reference checked; it directly addresses judgment concerning sabbath days.</w:t>
            </w:r>
          </w:p>
        </w:tc>
      </w:tr>
      <w:tr>
        <w:tc>
          <w:tcPr>
            <w:tcW w:type="dxa" w:w="3389"/>
            <w:vAlign w:val="top"/>
          </w:tcPr>
          <w:p>
            <w:r>
              <w:rPr>
                <w:rFonts w:ascii="Times New Roman" w:hAnsi="Times New Roman"/>
                <w:sz w:val="17"/>
              </w:rPr>
              <w:t>Gen. 2:8</w:t>
            </w:r>
          </w:p>
        </w:tc>
        <w:tc>
          <w:tcPr>
            <w:tcW w:type="dxa" w:w="3389"/>
            <w:vAlign w:val="top"/>
          </w:tcPr>
          <w:p>
            <w:r>
              <w:rPr>
                <w:rFonts w:ascii="Times New Roman" w:hAnsi="Times New Roman"/>
                <w:sz w:val="17"/>
              </w:rPr>
              <w:t>Isaiah 37:12; 2 Kings 19:12; Amos 1:5</w:t>
            </w:r>
          </w:p>
        </w:tc>
        <w:tc>
          <w:tcPr>
            <w:tcW w:type="dxa" w:w="3389"/>
            <w:vAlign w:val="top"/>
          </w:tcPr>
          <w:p>
            <w:r>
              <w:rPr>
                <w:rFonts w:ascii="Times New Roman" w:hAnsi="Times New Roman"/>
                <w:sz w:val="17"/>
              </w:rPr>
              <w:t>References checked; each contains a geographical Eden / house of Eden reference.</w:t>
            </w:r>
          </w:p>
        </w:tc>
      </w:tr>
      <w:tr>
        <w:tc>
          <w:tcPr>
            <w:tcW w:type="dxa" w:w="3389"/>
            <w:vAlign w:val="top"/>
          </w:tcPr>
          <w:p>
            <w:r>
              <w:rPr>
                <w:rFonts w:ascii="Times New Roman" w:hAnsi="Times New Roman"/>
                <w:sz w:val="17"/>
              </w:rPr>
              <w:t>Gen. 2:17</w:t>
            </w:r>
          </w:p>
        </w:tc>
        <w:tc>
          <w:tcPr>
            <w:tcW w:type="dxa" w:w="3389"/>
            <w:vAlign w:val="top"/>
          </w:tcPr>
          <w:p>
            <w:r>
              <w:rPr>
                <w:rFonts w:ascii="Times New Roman" w:hAnsi="Times New Roman"/>
                <w:sz w:val="17"/>
              </w:rPr>
              <w:t>“dying thou shalt die”</w:t>
            </w:r>
          </w:p>
        </w:tc>
        <w:tc>
          <w:tcPr>
            <w:tcW w:type="dxa" w:w="3389"/>
            <w:vAlign w:val="top"/>
          </w:tcPr>
          <w:p>
            <w:r>
              <w:rPr>
                <w:rFonts w:ascii="Times New Roman" w:hAnsi="Times New Roman"/>
                <w:sz w:val="17"/>
              </w:rPr>
              <w:t>Mansfield’s Expositor explicitly gives the Hebrew emphatic construction.</w:t>
            </w:r>
          </w:p>
        </w:tc>
      </w:tr>
      <w:tr>
        <w:tc>
          <w:tcPr>
            <w:tcW w:type="dxa" w:w="3389"/>
            <w:vAlign w:val="top"/>
          </w:tcPr>
          <w:p>
            <w:r>
              <w:rPr>
                <w:rFonts w:ascii="Times New Roman" w:hAnsi="Times New Roman"/>
                <w:sz w:val="17"/>
              </w:rPr>
              <w:t>Gen. 2:18</w:t>
            </w:r>
          </w:p>
        </w:tc>
        <w:tc>
          <w:tcPr>
            <w:tcW w:type="dxa" w:w="3389"/>
            <w:vAlign w:val="top"/>
          </w:tcPr>
          <w:p>
            <w:r>
              <w:rPr>
                <w:rFonts w:ascii="Times New Roman" w:hAnsi="Times New Roman"/>
                <w:sz w:val="17"/>
              </w:rPr>
              <w:t>ezer kenegdo — corresponding counterpart</w:t>
            </w:r>
          </w:p>
        </w:tc>
        <w:tc>
          <w:tcPr>
            <w:tcW w:type="dxa" w:w="3389"/>
            <w:vAlign w:val="top"/>
          </w:tcPr>
          <w:p>
            <w:r>
              <w:rPr>
                <w:rFonts w:ascii="Times New Roman" w:hAnsi="Times New Roman"/>
                <w:sz w:val="17"/>
              </w:rPr>
              <w:t>Mansfield’s Expositor: literally “one as his front”; “a help fit for him.”</w:t>
            </w:r>
          </w:p>
        </w:tc>
      </w:tr>
      <w:tr>
        <w:tc>
          <w:tcPr>
            <w:tcW w:type="dxa" w:w="3389"/>
            <w:vAlign w:val="top"/>
          </w:tcPr>
          <w:p>
            <w:r>
              <w:rPr>
                <w:rFonts w:ascii="Times New Roman" w:hAnsi="Times New Roman"/>
                <w:sz w:val="17"/>
              </w:rPr>
              <w:t>Gen. 2:15</w:t>
            </w:r>
          </w:p>
        </w:tc>
        <w:tc>
          <w:tcPr>
            <w:tcW w:type="dxa" w:w="3389"/>
            <w:vAlign w:val="top"/>
          </w:tcPr>
          <w:p>
            <w:r>
              <w:rPr>
                <w:rFonts w:ascii="Times New Roman" w:hAnsi="Times New Roman"/>
                <w:sz w:val="17"/>
              </w:rPr>
              <w:t>shamar — guard / preserve</w:t>
            </w:r>
          </w:p>
        </w:tc>
        <w:tc>
          <w:tcPr>
            <w:tcW w:type="dxa" w:w="3389"/>
            <w:vAlign w:val="top"/>
          </w:tcPr>
          <w:p>
            <w:r>
              <w:rPr>
                <w:rFonts w:ascii="Times New Roman" w:hAnsi="Times New Roman"/>
                <w:sz w:val="17"/>
              </w:rPr>
              <w:t>Lexical sense is consistent with Mansfield’s Eden exposition; exact marginal handwriting remains partly obscured.</w:t>
            </w:r>
          </w:p>
        </w:tc>
      </w:tr>
    </w:tbl>
    <w:p>
      <w:pPr>
        <w:pStyle w:val="Heading1"/>
      </w:pPr>
      <w:r>
        <w:t>RESIDUAL UNCERTAINTIES</w:t>
      </w:r>
    </w:p>
    <w:p>
      <w:r>
        <w:t>The following have not been silently reconstructed:</w:t>
      </w:r>
    </w:p>
    <w:p>
      <w:pPr>
        <w:pStyle w:val="ListBullet"/>
        <w:spacing w:after="40"/>
      </w:pPr>
      <w:r>
        <w:t>the exact handwritten mist / spring wording at Genesis 2:6;</w:t>
      </w:r>
    </w:p>
    <w:p>
      <w:pPr>
        <w:pStyle w:val="ListBullet"/>
        <w:spacing w:after="40"/>
      </w:pPr>
      <w:r>
        <w:t>several detailed geographical identifications and tiny cross-references for the four rivers in verses 11–14;</w:t>
      </w:r>
    </w:p>
    <w:p>
      <w:pPr>
        <w:pStyle w:val="ListBullet"/>
        <w:spacing w:after="40"/>
      </w:pPr>
      <w:r>
        <w:t>the complete handwritten lexical note beside “dress / keep” at verse 15;</w:t>
      </w:r>
    </w:p>
    <w:p>
      <w:pPr>
        <w:pStyle w:val="ListBullet"/>
        <w:spacing w:after="40"/>
      </w:pPr>
      <w:r>
        <w:t>several small references attached to verses 21–25.</w:t>
      </w:r>
    </w:p>
    <w:p>
      <w:r>
        <w:t>Where the published Expositor supplies a plausible parallel but not enough evidence that the handwriting says exactly the same thing, the HPB reading remains marked as unresolved.</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7"/>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7"/>
      </w:rPr>
      <w:t>H. P. MANSFIELD BIBLE NOTES  •  GENESIS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Times New Roman" w:hAnsi="Times New Roman" w:eastAsia="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Times New Roman" w:hAnsi="Times New Roman" w:eastAsia="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Times New Roman" w:hAnsi="Times New Roman" w:eastAsia="Times New Roman"/>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b/>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