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4</w:t>
      </w:r>
    </w:p>
    <w:p>
      <w:pPr>
        <w:pStyle w:val="Subtitle"/>
        <w:jc w:val="center"/>
      </w:pPr>
      <w:r>
        <w:t>THE WAY OF CAIN • THE TWO SEEDS</w:t>
      </w:r>
    </w:p>
    <w:p>
      <w:pPr>
        <w:jc w:val="center"/>
      </w:pPr>
      <w:r>
        <w:rPr>
          <w:i/>
          <w:sz w:val="18"/>
        </w:rPr>
        <w:t>H. P. Mansfield Bible notes — checked and arranged in verse-by-verse Expositor style</w:t>
      </w:r>
    </w:p>
    <w:p>
      <w:pPr>
        <w:jc w:val="center"/>
      </w:pPr>
      <w:r>
        <w:rPr>
          <w:sz w:val="16"/>
        </w:rPr>
        <w:t>Source: HPB 01-Gen01-Gen41.PDF, Genesis 4 and inserted Cain/Abel studies</w:t>
      </w:r>
    </w:p>
    <w:p>
      <w:pPr>
        <w:pStyle w:val="Heading1"/>
      </w:pPr>
      <w:r>
        <w:t>CHAPTER OVERVIEW</w:t>
      </w:r>
    </w:p>
    <w:p>
      <w:r>
        <w:t>Mansfield heads the inserted study “THE WAY OF CAIN” with Jude 11 and describes the conflict as “THE TWO SEEDS.” The chapter traces the widening separation between worship according to divine revelation and worship shaped by self-will, acquisition, material achievement and the flesh.</w:t>
      </w:r>
    </w:p>
    <w:p>
      <w:r>
        <w:t>His divisions are: the birth of Cain and Abel; their offerings; Cain’s sullen anger (vv. 5–7); the first murder (vv. 6–8); punishment (vv. 9–12); protection (vv. 13–15); banishment (v. 16); the progeny of Cain (vv. 17–18); growth of materialism (vv. 19–24); Lamech’s song; and the line of Seth (vv. 25–26).</w:t>
      </w:r>
    </w:p>
    <w:p>
      <w:pPr>
        <w:pStyle w:val="Heading1"/>
      </w:pPr>
      <w:r>
        <w:t>ABEL AND CAIN — THE TWO WAYS</w:t>
      </w:r>
    </w:p>
    <w:p>
      <w:r>
        <w:t>ABEL is linked with the sense “vanity,” from Hebel, breath or vapour. Mansfield’s point is that Abel recognised the transience of the present life and looked to the enduring reality of God’s purpose. Ecclesiastes and 2 Corinthians 4:18 are among the references associated with the note.</w:t>
      </w:r>
    </w:p>
    <w:p>
      <w:r>
        <w:t>CAIN is linked with acquisition, possession or gain. Mansfield treats acquisition as a dominant Cainite motive. Under Jude 11 he develops three stages of apostasy: the way of Cain — wrong worship and disobedient approach; the error of Balaam — commercialised religion; and the gainsaying of Korah — contradiction, rebellion and unbelief.</w:t>
      </w:r>
    </w:p>
    <w:p>
      <w:r>
        <w:t>“THE TWO SEEDS” carries forward the enmity of Genesis 3:15. Mansfield sees Cain and Abel, and later Cain and Seth, as representative of two mutually opposed principles: the way formed by divine revelation and the way governed by flesh.</w:t>
      </w:r>
    </w:p>
    <w:p>
      <w:pPr>
        <w:pStyle w:val="Heading2"/>
      </w:pPr>
      <w:r>
        <w:t>Genesis 4:1 — “I have gotten a man from the LORD”</w:t>
      </w:r>
    </w:p>
    <w:p>
      <w:r>
        <w:t>“Cain” and “I have gotten a man from the LORD” are marked. Cain’s name is linked with getting, acquiring or gaining. Mansfield understands Eve’s words as reflecting expectation associated with the promised seed of Genesis 3:15: she appears to have hoped that her firstborn might be the promised deliverer.</w:t>
      </w:r>
    </w:p>
    <w:p>
      <w:pPr>
        <w:pStyle w:val="Heading2"/>
      </w:pPr>
      <w:r>
        <w:t>Genesis 4:2 — “Abel was a keeper of sheep, but Cain was a tiller of the ground”</w:t>
      </w:r>
    </w:p>
    <w:p>
      <w:r>
        <w:t>“Abel,” “keeper of sheep,” “Cain,” and “tiller of the ground” are marked. The published Expositor helps recover the lexical contrast: Abel’s work is described by ra'ah, to tend or pasture as a shepherd; Cain’s by abad, to serve or labour, even as a bondservant.</w:t>
      </w:r>
    </w:p>
    <w:p>
      <w:r>
        <w:t>The Cherubim are associated with the appointed centre of worship. The children of Adam and Eve are pictured as approaching the divinely established place, so the occupations of the brothers become the background to a deeper distinction in their worship.</w:t>
      </w:r>
    </w:p>
    <w:p>
      <w:pPr>
        <w:pStyle w:val="Heading2"/>
      </w:pPr>
      <w:r>
        <w:t>Genesis 4:3 — “in process of time... Cain brought... an offering”</w:t>
      </w:r>
    </w:p>
    <w:p>
      <w:r>
        <w:t>“In process of time” and “offering” are marked. Mansfield reads the phrase as implying an appointed or set time for presentation of offerings.</w:t>
      </w:r>
    </w:p>
    <w:p>
      <w:r>
        <w:t>The Hebrew minchah is recovered more fully from Mansfield’s Expositor: a gift or offering, usually bloodless and voluntary, expressing gratitude to God and dedication of His blessings to His service. Cain’s error was not simply that his gift came from the ground, but that he approached on his own terms and omitted the prior sacrificial principle already revealed in Eden.</w:t>
      </w:r>
    </w:p>
    <w:p>
      <w:pPr>
        <w:pStyle w:val="Heading2"/>
      </w:pPr>
      <w:r>
        <w:t>Genesis 4:4 — “Abel... brought of the firstlings of his flock and of the fat thereof”</w:t>
      </w:r>
    </w:p>
    <w:p>
      <w:r>
        <w:t>“Firstlings of his flock,” “fat thereof,” and Yahweh’s respect for Abel and his offering are strongly marked. Hebrews 11:4 is central: Abel offered a “more excellent sacrifice” by faith.</w:t>
      </w:r>
    </w:p>
    <w:p>
      <w:r>
        <w:t>Mansfield’s published Expositor interprets the Hebrew construction as indicating that Abel brought the gratitude offering as Cain did and, in addition, the firstlings of his flock. His offering therefore acknowledged both gratitude and the need for sacrificial covering.</w:t>
      </w:r>
    </w:p>
    <w:p>
      <w:r>
        <w:t>The HPB note continues the Genesis 3:21 theme: the blood of Abel’s lamb achieved what the sweat of Cain’s brow could never achieve. Abel’s offering expressed both his need of and desire for the promised redemption.</w:t>
      </w:r>
    </w:p>
    <w:p>
      <w:pPr>
        <w:pStyle w:val="Heading2"/>
      </w:pPr>
      <w:r>
        <w:t>Genesis 4:5 — “unto Cain and to his offering he had not respect”</w:t>
      </w:r>
    </w:p>
    <w:p>
      <w:r>
        <w:t>The section is headed “CAIN’S SULLEN ANGER — vv. 5–7.” “Cain,” “not respect,” “very wroth,” and “countenance fell” are marked. Mansfield stresses that the rejection of the offering exposed the condition of the worshipper himself. Proverbs 21:27 and Proverbs 15:8 are used in the published Expositor to illustrate unacceptable worship proceeding from wickedness.</w:t>
      </w:r>
    </w:p>
    <w:p>
      <w:pPr>
        <w:pStyle w:val="Heading2"/>
      </w:pPr>
      <w:r>
        <w:t>Genesis 4:6 — “Why art thou wroth?”</w:t>
      </w:r>
    </w:p>
    <w:p>
      <w:r>
        <w:t>Yahweh’s question is underlined as a divine appeal to self-examination and repentance before anger develops into murder.</w:t>
      </w:r>
    </w:p>
    <w:p>
      <w:pPr>
        <w:pStyle w:val="Heading2"/>
      </w:pPr>
      <w:r>
        <w:t>Genesis 4:7 — “If thou doest well, shalt thou not be accepted?”</w:t>
      </w:r>
    </w:p>
    <w:p>
      <w:r>
        <w:t>“Doest well,” “accepted,” “sin lieth at the door,” “his desire,” and “rule over him” are marked. Mansfield’s Expositor gives se'eth behind “accepted” in the sense of elevation or excellency, relating the promise to Cain’s privileged status as firstborn if he acted faithfully.</w:t>
      </w:r>
    </w:p>
    <w:p>
      <w:r>
        <w:t>The words translated “sin” and “lieth” receive special attention: chattaah can denote sin or a sin-offering, while rebets means crouching. Mansfield therefore understands the verse as offering Cain a practical way back to acceptable worship: the required animal offering was available to him.</w:t>
      </w:r>
    </w:p>
    <w:p>
      <w:r>
        <w:t>The HPB note also appeals to the Septuagint. Its wording can be represented as: if Cain offered correctly but did not divide or discriminate correctly, he had sinned. This supports Mansfield’s emphasis that the problem was not the mere existence of an offering but the manner in which Cain approached God.</w:t>
      </w:r>
    </w:p>
    <w:p>
      <w:r>
        <w:t>Genesis 3:16 is cross-referenced beside “desire” and “rule,” linking Cain’s possible restored firstborn status with the earlier wording concerning Eve and Adam.</w:t>
      </w:r>
    </w:p>
    <w:p>
      <w:pPr>
        <w:pStyle w:val="Heading2"/>
      </w:pPr>
      <w:r>
        <w:t>Genesis 4:8 — “Cain rose up against Abel his brother, and slew him”</w:t>
      </w:r>
    </w:p>
    <w:p>
      <w:r>
        <w:t>“Cain talked with Abel his brother,” “in the field,” “rose up,” and “slew him” are marked. Mansfield describes Cain’s anger as brooding and sullen until it erupted in murder. Proverbs 27:4, Ecclesiastes 7:9, Proverbs 14:17 and Ephesians 4:26 are all appropriate references concerning anger and wrath.</w:t>
      </w:r>
    </w:p>
    <w:p>
      <w:r>
        <w:t>Mansfield’s published Expositor also notes a textual detail: the Septuagint, Samaritan and Syriac traditions supply the missing speech, “Let us go out into the field,” before the murder. Abel is linked with the later biblical witness to the first righteous martyr, including Matthew 23:35 and Hebrews 12:24.</w:t>
      </w:r>
    </w:p>
    <w:p>
      <w:pPr>
        <w:pStyle w:val="Heading2"/>
      </w:pPr>
      <w:r>
        <w:t>Genesis 4:9 — “Where is Abel thy brother?... Am I my brother's keeper?”</w:t>
      </w:r>
    </w:p>
    <w:p>
      <w:r>
        <w:t>“Where is Abel thy brother?”, “I know not,” and “Am I my brother’s keeper?” are strongly marked. Cain’s lie and refusal of responsibility illustrate the further development of sin. The nearby chatat note continues the distinction between sin and sin-offering.</w:t>
      </w:r>
    </w:p>
    <w:p>
      <w:pPr>
        <w:pStyle w:val="Heading2"/>
      </w:pPr>
      <w:r>
        <w:t>Genesis 4:10 — “the voice of thy brother's blood crieth unto me from the ground”</w:t>
      </w:r>
    </w:p>
    <w:p>
      <w:r>
        <w:t>“Blood,” “crieth,” and “from the ground” are marked. Abel’s blood calls for divine response. Hebrews 12 provides the contrast with the blood of Christ, which speaks better things than that of Abel.</w:t>
      </w:r>
    </w:p>
    <w:p>
      <w:pPr>
        <w:pStyle w:val="Heading2"/>
      </w:pPr>
      <w:r>
        <w:t>Genesis 4:11 — “now art thou cursed from the earth”</w:t>
      </w:r>
    </w:p>
    <w:p>
      <w:r>
        <w:t>“Cursed,” “earth,” and the earth opening its mouth to receive Abel’s blood are marked. Mansfield treats Abel’s offering and blood as continuing witnesses to the need for the promised redemption.</w:t>
      </w:r>
    </w:p>
    <w:p>
      <w:pPr>
        <w:pStyle w:val="Heading2"/>
      </w:pPr>
      <w:r>
        <w:t>Genesis 4:12 — “a fugitive and a vagabond shalt thou be”</w:t>
      </w:r>
    </w:p>
    <w:p>
      <w:r>
        <w:t>“Fugitive,” “vagabond,” and a marginal equivalent to “wanderer” are marked. The obscure Septuagint note can be recovered: the Greek version describes Cain as “groaning and trembling” upon the earth. This differs in form from the Hebrew “fugitive and wanderer,” and Mansfield records the alternative as part of his comparative study.</w:t>
      </w:r>
    </w:p>
    <w:p>
      <w:pPr>
        <w:pStyle w:val="Heading2"/>
      </w:pPr>
      <w:r>
        <w:t>Genesis 4:13 — “My punishment is greater than I can bear”</w:t>
      </w:r>
    </w:p>
    <w:p>
      <w:r>
        <w:t>“My punishment” is circled or marked. Mansfield’s published Expositor recovers the marginal alternative: “Mine iniquity is greater than that it may be forgiven.” The underlying Hebrew noun avon can refer to iniquity/guilt and, by extension, the punishment consequent upon it. Mansfield therefore reads Cain’s words as capable of expressing more than a complaint about the severity of punishment.</w:t>
      </w:r>
    </w:p>
    <w:p>
      <w:pPr>
        <w:pStyle w:val="Heading2"/>
      </w:pPr>
      <w:r>
        <w:t>Genesis 4:14 — “from thy face shall I be hid”</w:t>
      </w:r>
    </w:p>
    <w:p>
      <w:r>
        <w:t>“From thy face shall I be hid” is strongly marked. Mansfield connects “face” with exclusion from the divine or cherubic presence at the appointed centre of worship. Cain also fears that others will kill him.</w:t>
      </w:r>
    </w:p>
    <w:p>
      <w:pPr>
        <w:pStyle w:val="Heading2"/>
      </w:pPr>
      <w:r>
        <w:t>Genesis 4:15 — “the LORD set a mark upon Cain”</w:t>
      </w:r>
    </w:p>
    <w:p>
      <w:r>
        <w:t>The section is headed “PROTECTION FOR CAIN — vv. 13–15.” “Sevenfold” and “set a mark upon Cain” are marked. Mansfield argues that Cain’s violence might otherwise have multiplied further bloodshed, so a protective sign was provided.</w:t>
      </w:r>
    </w:p>
    <w:p>
      <w:r>
        <w:t>The wording of the HPB note suggests that the mark was upon Cain himself and made him recognisable. Mansfield draws a typological comparison with later marked or protected peoples, including the preservation of the Jews in dispersion; some of the small supporting references remain unreadable.</w:t>
      </w:r>
    </w:p>
    <w:p>
      <w:pPr>
        <w:pStyle w:val="Heading2"/>
      </w:pPr>
      <w:r>
        <w:t>Genesis 4:16 — “Cain went out from the presence of the LORD... land of Nod”</w:t>
      </w:r>
    </w:p>
    <w:p>
      <w:r>
        <w:t>The section is headed “BANISHMENT OF CAIN — v. 16.” “Went out from the presence of the LORD,” “Nod,” and “east of Eden” are marked. Nod is linked with wandering or exile, reinforcing the spiritual point of separation from the appointed divine presence.</w:t>
      </w:r>
    </w:p>
    <w:p>
      <w:pPr>
        <w:pStyle w:val="Heading2"/>
      </w:pPr>
      <w:r>
        <w:t>Genesis 4:17 — “he builded a city”</w:t>
      </w:r>
    </w:p>
    <w:p>
      <w:r>
        <w:t>The section “PROGENY OF CAIN — vv. 17–18” begins here. “Enoch,” “built a city,” and the city’s name are marked. Mansfield’s summary “CAIN INTRODUCES” starts with “City life — v. 17,” portraying organised civilisation developing outside the faithful worship-line.</w:t>
      </w:r>
    </w:p>
    <w:p>
      <w:pPr>
        <w:pStyle w:val="Heading2"/>
      </w:pPr>
      <w:r>
        <w:t>Genesis 4:18 — “Enoch... Irad... Mehujael... Methusael... Lamech”</w:t>
      </w:r>
    </w:p>
    <w:p>
      <w:r>
        <w:t>The Cainite genealogy is marked and contrasted with the Sethite line in Mansfield’s inserted chart. Several handwritten name-etymologies are too indistinct to treat as certain. The overall movement is clear: Cain’s line is portrayed as increasingly self-centred and apostate, culminating in the power and violence associated with Lamech.</w:t>
      </w:r>
    </w:p>
    <w:p>
      <w:pPr>
        <w:pStyle w:val="Heading2"/>
      </w:pPr>
      <w:r>
        <w:t>Genesis 4:19 — “Lamech took unto him two wives”</w:t>
      </w:r>
    </w:p>
    <w:p>
      <w:r>
        <w:t>“Lamech took unto him two wives,” “Adah,” and “Zillah” are marked. Mansfield’s “CAIN INTRODUCES” list identifies “Polygamy — v. 19.” The action is treated as a departure from the marriage order established in Genesis 2.</w:t>
      </w:r>
    </w:p>
    <w:p>
      <w:pPr>
        <w:pStyle w:val="Heading2"/>
      </w:pPr>
      <w:r>
        <w:t>Genesis 4:20 — “Jabal... father of such as dwell in tents, and of such as have cattle”</w:t>
      </w:r>
    </w:p>
    <w:p>
      <w:r>
        <w:t>“Jabal,” “father of such as dwell in tents,” and “cattle” are marked. Mansfield sees in this an organised material and commercial order. In his published exposition, Jabal is associated with the profit motive and the organisation of wealth.</w:t>
      </w:r>
    </w:p>
    <w:p>
      <w:pPr>
        <w:pStyle w:val="Heading2"/>
      </w:pPr>
      <w:r>
        <w:t>Genesis 4:21 — “Jubal... harp and organ”</w:t>
      </w:r>
    </w:p>
    <w:p>
      <w:r>
        <w:t>“Jubal,” “harp,” and “organ” are strongly marked. Mansfield’s summary gives “Popular music — v. 21.” The published Expositor interprets the instruments broadly as stringed and wind instruments and associates Jubal with organised pleasure and music.</w:t>
      </w:r>
    </w:p>
    <w:p>
      <w:r>
        <w:t>The denser HPB marginal note extends this into a system satisfying the flesh and developing alongside apostate religion and political organisation. Its exact wording is partly obscured and has not been expanded beyond the recoverable sense.</w:t>
      </w:r>
    </w:p>
    <w:p>
      <w:pPr>
        <w:pStyle w:val="Heading2"/>
      </w:pPr>
      <w:r>
        <w:t>Genesis 4:22 — “Tubal-cain... artificer in brass and iron”</w:t>
      </w:r>
    </w:p>
    <w:p>
      <w:r>
        <w:t>“Tubal-cain,” “instructor,” “artificer,” “brass,” and “iron” are marked under “GROWTH OF MATERIALISM — vv. 19–24.” Mansfield’s summary gives “Metal working (for war) — v. 22.”</w:t>
      </w:r>
    </w:p>
    <w:p>
      <w:r>
        <w:t>The Hebrew can be clarified more precisely than the uncertain HPB transliteration: lotesh carries the idea of hammering, sharpening or forging; choresh denotes a craftsman, fabricator or mechanic. Mansfield’s published Expositor therefore renders the sense as a forger of instruments, probably including weapons. The KJV “brass” is better understood as copper or bronze in this ancient setting.</w:t>
      </w:r>
    </w:p>
    <w:p>
      <w:r>
        <w:t>The theological point in the note is not hostility to technical skill itself, but that rapid technical progress can coexist with moral and spiritual decline.</w:t>
      </w:r>
    </w:p>
    <w:p>
      <w:pPr>
        <w:pStyle w:val="Heading2"/>
      </w:pPr>
      <w:r>
        <w:t>Genesis 4:23 — “Lamech said unto his wives...”</w:t>
      </w:r>
    </w:p>
    <w:p>
      <w:r>
        <w:t>Lamech’s address to Adah and Zillah is heavily marked. Mansfield presents Lamech as strong and violent, boasting in human power and security. The material achievements of his family now provide a basis for self-confidence and vengeance rather than dependence upon God.</w:t>
      </w:r>
    </w:p>
    <w:p>
      <w:pPr>
        <w:pStyle w:val="Heading2"/>
      </w:pPr>
      <w:r>
        <w:t>Genesis 4:24 — “If Cain shall be avenged sevenfold, truly Lamech seventy and sevenfold”</w:t>
      </w:r>
    </w:p>
    <w:p>
      <w:r>
        <w:t>“Seventy and sevenfold” is strongly marked. Mansfield gives verses 23–24 the striking heading “EARTH’S FIRST NATIONAL ANTHEM.” He treats the speech as poetic celebration of Cainite achievement and the weapon-making power associated with Tubal-cain.</w:t>
      </w:r>
    </w:p>
    <w:p>
      <w:r>
        <w:t>Cain had depended on divine protection in verse 15; Lamech boasts of his own protection and vengeance. Matthew 18 is cited as the deliberate moral contrast: Christ teaches the opposite principle of repeated forgiveness rather than escalating retaliation.</w:t>
      </w:r>
    </w:p>
    <w:p>
      <w:pPr>
        <w:pStyle w:val="Heading2"/>
      </w:pPr>
      <w:r>
        <w:t>Genesis 4:25 — “God... hath appointed me another seed instead of Abel”</w:t>
      </w:r>
    </w:p>
    <w:p>
      <w:r>
        <w:t>“Seth,” “appointed,” “another seed,” and “instead of Abel” are marked under “THE LINE OF SETH — vv. 25–26.” Seth means “appointed.” Mansfield says Abel is, in a typical sense, raised again in the appointment of another seed to continue the faithful line.</w:t>
      </w:r>
    </w:p>
    <w:p>
      <w:pPr>
        <w:pStyle w:val="Heading2"/>
      </w:pPr>
      <w:r>
        <w:t>Genesis 4:26 — “then began men to call upon the name of the LORD”</w:t>
      </w:r>
    </w:p>
    <w:p>
      <w:r>
        <w:t>“Enos” and “then began men to call upon the name of the LORD” are marked. Enos is given the sense weak or mortal man, stressing human frailty; Psalm 9:20 is used in Mansfield’s published Expositor.</w:t>
      </w:r>
    </w:p>
    <w:p>
      <w:r>
        <w:t>Qara is correctly glossed “to call / invoke.” The more difficult note concerns huchal, the verb rendered “began.” In its immediate Hebrew form it is normally understood as “it was begun,” while the same verbal root can elsewhere carry the idea of profaning or making common. Mansfield’s own published exposition deliberately takes the development here negatively: men began to invoke the divine name in a way that led to its profanation and contributed to the decline culminating in the Flood.</w:t>
      </w:r>
    </w:p>
    <w:p>
      <w:r>
        <w:t>The finished note therefore distinguishes the lexical fact from Mansfield’s interpretation rather than forcing the Hebrew itself to mean only “profane.”</w:t>
      </w:r>
    </w:p>
    <w:p>
      <w:pPr>
        <w:pStyle w:val="Heading1"/>
      </w:pPr>
      <w:r>
        <w:t>PRINCIPAL THEMES</w:t>
      </w:r>
    </w:p>
    <w:p>
      <w:pPr>
        <w:spacing w:after="52"/>
      </w:pPr>
      <w:r>
        <w:rPr>
          <w:b/>
        </w:rPr>
        <w:t xml:space="preserve">Two seeds, two ways. </w:t>
      </w:r>
      <w:r>
        <w:t>The enmity of Genesis 3:15 develops into opposed patterns of worship and life.</w:t>
      </w:r>
    </w:p>
    <w:p>
      <w:pPr>
        <w:spacing w:after="52"/>
      </w:pPr>
      <w:r>
        <w:rPr>
          <w:b/>
        </w:rPr>
        <w:t xml:space="preserve">Faith before works. </w:t>
      </w:r>
      <w:r>
        <w:t>Abel’s offering is acceptable because it proceeds from revealed faith; Cain substitutes his own way.</w:t>
      </w:r>
    </w:p>
    <w:p>
      <w:pPr>
        <w:spacing w:after="52"/>
      </w:pPr>
      <w:r>
        <w:rPr>
          <w:b/>
        </w:rPr>
        <w:t xml:space="preserve">The spread of sin. </w:t>
      </w:r>
      <w:r>
        <w:t>Anger develops into murder, falsehood, refusal of responsibility and exile.</w:t>
      </w:r>
    </w:p>
    <w:p>
      <w:pPr>
        <w:spacing w:after="52"/>
      </w:pPr>
      <w:r>
        <w:rPr>
          <w:b/>
        </w:rPr>
        <w:t xml:space="preserve">Divine appeal before judgment. </w:t>
      </w:r>
      <w:r>
        <w:t>Cain is questioned and given opportunity to correct his worship before murder occurs.</w:t>
      </w:r>
    </w:p>
    <w:p>
      <w:pPr>
        <w:spacing w:after="52"/>
      </w:pPr>
      <w:r>
        <w:rPr>
          <w:b/>
        </w:rPr>
        <w:t xml:space="preserve">Protection without approval. </w:t>
      </w:r>
      <w:r>
        <w:t>Cain is protected from indiscriminate vengeance but remains banished from the divine presence.</w:t>
      </w:r>
    </w:p>
    <w:p>
      <w:pPr>
        <w:spacing w:after="52"/>
      </w:pPr>
      <w:r>
        <w:rPr>
          <w:b/>
        </w:rPr>
        <w:t xml:space="preserve">Civilisation and character. </w:t>
      </w:r>
      <w:r>
        <w:t>Cities, commerce, music and metalworking advance while morality declines.</w:t>
      </w:r>
    </w:p>
    <w:p>
      <w:pPr>
        <w:spacing w:after="52"/>
      </w:pPr>
      <w:r>
        <w:rPr>
          <w:b/>
        </w:rPr>
        <w:t xml:space="preserve">Escalating vengeance. </w:t>
      </w:r>
      <w:r>
        <w:t>Lamech replaces dependence on God with confidence in human power and retaliation.</w:t>
      </w:r>
    </w:p>
    <w:p>
      <w:pPr>
        <w:spacing w:after="52"/>
      </w:pPr>
      <w:r>
        <w:rPr>
          <w:b/>
        </w:rPr>
        <w:t xml:space="preserve">The appointed seed. </w:t>
      </w:r>
      <w:r>
        <w:t>Seth continues the line associated with the promise after Abel’s death.</w:t>
      </w:r>
    </w:p>
    <w:p>
      <w:pPr>
        <w:spacing w:after="52"/>
      </w:pPr>
      <w:r>
        <w:rPr>
          <w:b/>
        </w:rPr>
        <w:t xml:space="preserve">Profanation of worship. </w:t>
      </w:r>
      <w:r>
        <w:t>Mansfield reads Genesis 4:26 as an early deterioration in the public use of the divine name.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408"/>
        <w:gridCol w:w="3408"/>
        <w:gridCol w:w="3408"/>
      </w:tblGrid>
      <w:tr>
        <w:tc>
          <w:tcPr>
            <w:tcW w:type="dxa" w:w="3408"/>
          </w:tcPr>
          <w:p>
            <w:r>
              <w:rPr>
                <w:rFonts w:ascii="Times New Roman" w:hAnsi="Times New Roman"/>
                <w:b/>
                <w:sz w:val="17"/>
              </w:rPr>
              <w:t>Location</w:t>
            </w:r>
          </w:p>
        </w:tc>
        <w:tc>
          <w:tcPr>
            <w:tcW w:type="dxa" w:w="3408"/>
          </w:tcPr>
          <w:p>
            <w:r>
              <w:rPr>
                <w:rFonts w:ascii="Times New Roman" w:hAnsi="Times New Roman"/>
                <w:b/>
                <w:sz w:val="17"/>
              </w:rPr>
              <w:t>Checked / corrected reading</w:t>
            </w:r>
          </w:p>
        </w:tc>
        <w:tc>
          <w:tcPr>
            <w:tcW w:type="dxa" w:w="3408"/>
          </w:tcPr>
          <w:p>
            <w:r>
              <w:rPr>
                <w:rFonts w:ascii="Times New Roman" w:hAnsi="Times New Roman"/>
                <w:b/>
                <w:sz w:val="17"/>
              </w:rPr>
              <w:t>Basis</w:t>
            </w:r>
          </w:p>
        </w:tc>
      </w:tr>
      <w:tr>
        <w:tc>
          <w:tcPr>
            <w:tcW w:type="dxa" w:w="3408"/>
            <w:vAlign w:val="top"/>
          </w:tcPr>
          <w:p>
            <w:r>
              <w:rPr>
                <w:rFonts w:ascii="Times New Roman" w:hAnsi="Times New Roman"/>
                <w:sz w:val="16"/>
              </w:rPr>
              <w:t>Gen. 4:2</w:t>
            </w:r>
          </w:p>
        </w:tc>
        <w:tc>
          <w:tcPr>
            <w:tcW w:type="dxa" w:w="3408"/>
            <w:vAlign w:val="top"/>
          </w:tcPr>
          <w:p>
            <w:r>
              <w:rPr>
                <w:rFonts w:ascii="Times New Roman" w:hAnsi="Times New Roman"/>
                <w:sz w:val="16"/>
              </w:rPr>
              <w:t>ra'ah — tend/shepherd; abad — serve/labour</w:t>
            </w:r>
          </w:p>
        </w:tc>
        <w:tc>
          <w:tcPr>
            <w:tcW w:type="dxa" w:w="3408"/>
            <w:vAlign w:val="top"/>
          </w:tcPr>
          <w:p>
            <w:r>
              <w:rPr>
                <w:rFonts w:ascii="Times New Roman" w:hAnsi="Times New Roman"/>
                <w:sz w:val="16"/>
              </w:rPr>
              <w:t>Recovered from Mansfield’s published Expositor.</w:t>
            </w:r>
          </w:p>
        </w:tc>
      </w:tr>
      <w:tr>
        <w:tc>
          <w:tcPr>
            <w:tcW w:type="dxa" w:w="3408"/>
            <w:vAlign w:val="top"/>
          </w:tcPr>
          <w:p>
            <w:r>
              <w:rPr>
                <w:rFonts w:ascii="Times New Roman" w:hAnsi="Times New Roman"/>
                <w:sz w:val="16"/>
              </w:rPr>
              <w:t>Gen. 4:3</w:t>
            </w:r>
          </w:p>
        </w:tc>
        <w:tc>
          <w:tcPr>
            <w:tcW w:type="dxa" w:w="3408"/>
            <w:vAlign w:val="top"/>
          </w:tcPr>
          <w:p>
            <w:r>
              <w:rPr>
                <w:rFonts w:ascii="Times New Roman" w:hAnsi="Times New Roman"/>
                <w:sz w:val="16"/>
              </w:rPr>
              <w:t>minchah — gift/offering; normally bloodless and voluntary</w:t>
            </w:r>
          </w:p>
        </w:tc>
        <w:tc>
          <w:tcPr>
            <w:tcW w:type="dxa" w:w="3408"/>
            <w:vAlign w:val="top"/>
          </w:tcPr>
          <w:p>
            <w:r>
              <w:rPr>
                <w:rFonts w:ascii="Times New Roman" w:hAnsi="Times New Roman"/>
                <w:sz w:val="16"/>
              </w:rPr>
              <w:t>Recovered from Mansfield’s published Expositor and consistent with Leviticus 2.</w:t>
            </w:r>
          </w:p>
        </w:tc>
      </w:tr>
      <w:tr>
        <w:tc>
          <w:tcPr>
            <w:tcW w:type="dxa" w:w="3408"/>
            <w:vAlign w:val="top"/>
          </w:tcPr>
          <w:p>
            <w:r>
              <w:rPr>
                <w:rFonts w:ascii="Times New Roman" w:hAnsi="Times New Roman"/>
                <w:sz w:val="16"/>
              </w:rPr>
              <w:t>Gen. 4:4</w:t>
            </w:r>
          </w:p>
        </w:tc>
        <w:tc>
          <w:tcPr>
            <w:tcW w:type="dxa" w:w="3408"/>
            <w:vAlign w:val="top"/>
          </w:tcPr>
          <w:p>
            <w:r>
              <w:rPr>
                <w:rFonts w:ascii="Times New Roman" w:hAnsi="Times New Roman"/>
                <w:sz w:val="16"/>
              </w:rPr>
              <w:t>Hebrews 11:4</w:t>
            </w:r>
          </w:p>
        </w:tc>
        <w:tc>
          <w:tcPr>
            <w:tcW w:type="dxa" w:w="3408"/>
            <w:vAlign w:val="top"/>
          </w:tcPr>
          <w:p>
            <w:r>
              <w:rPr>
                <w:rFonts w:ascii="Times New Roman" w:hAnsi="Times New Roman"/>
                <w:sz w:val="16"/>
              </w:rPr>
              <w:t>Reference checked: Abel’s more excellent sacrifice is explicitly attributed to faith.</w:t>
            </w:r>
          </w:p>
        </w:tc>
      </w:tr>
      <w:tr>
        <w:tc>
          <w:tcPr>
            <w:tcW w:type="dxa" w:w="3408"/>
            <w:vAlign w:val="top"/>
          </w:tcPr>
          <w:p>
            <w:r>
              <w:rPr>
                <w:rFonts w:ascii="Times New Roman" w:hAnsi="Times New Roman"/>
                <w:sz w:val="16"/>
              </w:rPr>
              <w:t>Gen. 4:7</w:t>
            </w:r>
          </w:p>
        </w:tc>
        <w:tc>
          <w:tcPr>
            <w:tcW w:type="dxa" w:w="3408"/>
            <w:vAlign w:val="top"/>
          </w:tcPr>
          <w:p>
            <w:r>
              <w:rPr>
                <w:rFonts w:ascii="Times New Roman" w:hAnsi="Times New Roman"/>
                <w:sz w:val="16"/>
              </w:rPr>
              <w:t>se'eth — elevation/excellency; chattaah — sin/sin-offering; rebets — crouching</w:t>
            </w:r>
          </w:p>
        </w:tc>
        <w:tc>
          <w:tcPr>
            <w:tcW w:type="dxa" w:w="3408"/>
            <w:vAlign w:val="top"/>
          </w:tcPr>
          <w:p>
            <w:r>
              <w:rPr>
                <w:rFonts w:ascii="Times New Roman" w:hAnsi="Times New Roman"/>
                <w:sz w:val="16"/>
              </w:rPr>
              <w:t>Recovered from Mansfield’s published Expositor.</w:t>
            </w:r>
          </w:p>
        </w:tc>
      </w:tr>
      <w:tr>
        <w:tc>
          <w:tcPr>
            <w:tcW w:type="dxa" w:w="3408"/>
            <w:vAlign w:val="top"/>
          </w:tcPr>
          <w:p>
            <w:r>
              <w:rPr>
                <w:rFonts w:ascii="Times New Roman" w:hAnsi="Times New Roman"/>
                <w:sz w:val="16"/>
              </w:rPr>
              <w:t>Gen. 4:7</w:t>
            </w:r>
          </w:p>
        </w:tc>
        <w:tc>
          <w:tcPr>
            <w:tcW w:type="dxa" w:w="3408"/>
            <w:vAlign w:val="top"/>
          </w:tcPr>
          <w:p>
            <w:r>
              <w:rPr>
                <w:rFonts w:ascii="Times New Roman" w:hAnsi="Times New Roman"/>
                <w:sz w:val="16"/>
              </w:rPr>
              <w:t>Septuagint: offering correctly / failing to divide or discriminate correctly</w:t>
            </w:r>
          </w:p>
        </w:tc>
        <w:tc>
          <w:tcPr>
            <w:tcW w:type="dxa" w:w="3408"/>
            <w:vAlign w:val="top"/>
          </w:tcPr>
          <w:p>
            <w:r>
              <w:rPr>
                <w:rFonts w:ascii="Times New Roman" w:hAnsi="Times New Roman"/>
                <w:sz w:val="16"/>
              </w:rPr>
              <w:t>Recovers the substance of Mansfield’s obscured LXX note.</w:t>
            </w:r>
          </w:p>
        </w:tc>
      </w:tr>
      <w:tr>
        <w:tc>
          <w:tcPr>
            <w:tcW w:type="dxa" w:w="3408"/>
            <w:vAlign w:val="top"/>
          </w:tcPr>
          <w:p>
            <w:r>
              <w:rPr>
                <w:rFonts w:ascii="Times New Roman" w:hAnsi="Times New Roman"/>
                <w:sz w:val="16"/>
              </w:rPr>
              <w:t>Gen. 4:8</w:t>
            </w:r>
          </w:p>
        </w:tc>
        <w:tc>
          <w:tcPr>
            <w:tcW w:type="dxa" w:w="3408"/>
            <w:vAlign w:val="top"/>
          </w:tcPr>
          <w:p>
            <w:r>
              <w:rPr>
                <w:rFonts w:ascii="Times New Roman" w:hAnsi="Times New Roman"/>
                <w:sz w:val="16"/>
              </w:rPr>
              <w:t>Septuagint/Samaritan/Syriac supply “Let us go out into the field”</w:t>
            </w:r>
          </w:p>
        </w:tc>
        <w:tc>
          <w:tcPr>
            <w:tcW w:type="dxa" w:w="3408"/>
            <w:vAlign w:val="top"/>
          </w:tcPr>
          <w:p>
            <w:r>
              <w:rPr>
                <w:rFonts w:ascii="Times New Roman" w:hAnsi="Times New Roman"/>
                <w:sz w:val="16"/>
              </w:rPr>
              <w:t>Recorded explicitly in Mansfield’s published Expositor.</w:t>
            </w:r>
          </w:p>
        </w:tc>
      </w:tr>
      <w:tr>
        <w:tc>
          <w:tcPr>
            <w:tcW w:type="dxa" w:w="3408"/>
            <w:vAlign w:val="top"/>
          </w:tcPr>
          <w:p>
            <w:r>
              <w:rPr>
                <w:rFonts w:ascii="Times New Roman" w:hAnsi="Times New Roman"/>
                <w:sz w:val="16"/>
              </w:rPr>
              <w:t>Gen. 4:12</w:t>
            </w:r>
          </w:p>
        </w:tc>
        <w:tc>
          <w:tcPr>
            <w:tcW w:type="dxa" w:w="3408"/>
            <w:vAlign w:val="top"/>
          </w:tcPr>
          <w:p>
            <w:r>
              <w:rPr>
                <w:rFonts w:ascii="Times New Roman" w:hAnsi="Times New Roman"/>
                <w:sz w:val="16"/>
              </w:rPr>
              <w:t>Septuagint: “groaning and trembling”</w:t>
            </w:r>
          </w:p>
        </w:tc>
        <w:tc>
          <w:tcPr>
            <w:tcW w:type="dxa" w:w="3408"/>
            <w:vAlign w:val="top"/>
          </w:tcPr>
          <w:p>
            <w:r>
              <w:rPr>
                <w:rFonts w:ascii="Times New Roman" w:hAnsi="Times New Roman"/>
                <w:sz w:val="16"/>
              </w:rPr>
              <w:t>Recovers the obscured comparative-version note.</w:t>
            </w:r>
          </w:p>
        </w:tc>
      </w:tr>
      <w:tr>
        <w:tc>
          <w:tcPr>
            <w:tcW w:type="dxa" w:w="3408"/>
            <w:vAlign w:val="top"/>
          </w:tcPr>
          <w:p>
            <w:r>
              <w:rPr>
                <w:rFonts w:ascii="Times New Roman" w:hAnsi="Times New Roman"/>
                <w:sz w:val="16"/>
              </w:rPr>
              <w:t>Gen. 4:13</w:t>
            </w:r>
          </w:p>
        </w:tc>
        <w:tc>
          <w:tcPr>
            <w:tcW w:type="dxa" w:w="3408"/>
            <w:vAlign w:val="top"/>
          </w:tcPr>
          <w:p>
            <w:r>
              <w:rPr>
                <w:rFonts w:ascii="Times New Roman" w:hAnsi="Times New Roman"/>
                <w:sz w:val="16"/>
              </w:rPr>
              <w:t>“Mine iniquity is greater than that it may be forgiven”; avon</w:t>
            </w:r>
          </w:p>
        </w:tc>
        <w:tc>
          <w:tcPr>
            <w:tcW w:type="dxa" w:w="3408"/>
            <w:vAlign w:val="top"/>
          </w:tcPr>
          <w:p>
            <w:r>
              <w:rPr>
                <w:rFonts w:ascii="Times New Roman" w:hAnsi="Times New Roman"/>
                <w:sz w:val="16"/>
              </w:rPr>
              <w:t>Mansfield’s published Expositor gives this marginal alternative; avon can denote iniquity/guilt and consequent punishment.</w:t>
            </w:r>
          </w:p>
        </w:tc>
      </w:tr>
      <w:tr>
        <w:tc>
          <w:tcPr>
            <w:tcW w:type="dxa" w:w="3408"/>
            <w:vAlign w:val="top"/>
          </w:tcPr>
          <w:p>
            <w:r>
              <w:rPr>
                <w:rFonts w:ascii="Times New Roman" w:hAnsi="Times New Roman"/>
                <w:sz w:val="16"/>
              </w:rPr>
              <w:t>Gen. 4:22</w:t>
            </w:r>
          </w:p>
        </w:tc>
        <w:tc>
          <w:tcPr>
            <w:tcW w:type="dxa" w:w="3408"/>
            <w:vAlign w:val="top"/>
          </w:tcPr>
          <w:p>
            <w:r>
              <w:rPr>
                <w:rFonts w:ascii="Times New Roman" w:hAnsi="Times New Roman"/>
                <w:sz w:val="16"/>
              </w:rPr>
              <w:t>lotesh — forger/sharpener; choresh — craftsman/fabricator</w:t>
            </w:r>
          </w:p>
        </w:tc>
        <w:tc>
          <w:tcPr>
            <w:tcW w:type="dxa" w:w="3408"/>
            <w:vAlign w:val="top"/>
          </w:tcPr>
          <w:p>
            <w:r>
              <w:rPr>
                <w:rFonts w:ascii="Times New Roman" w:hAnsi="Times New Roman"/>
                <w:sz w:val="16"/>
              </w:rPr>
              <w:t>Hebrew wording checked; resolves the uncertain artificer note.</w:t>
            </w:r>
          </w:p>
        </w:tc>
      </w:tr>
      <w:tr>
        <w:tc>
          <w:tcPr>
            <w:tcW w:type="dxa" w:w="3408"/>
            <w:vAlign w:val="top"/>
          </w:tcPr>
          <w:p>
            <w:r>
              <w:rPr>
                <w:rFonts w:ascii="Times New Roman" w:hAnsi="Times New Roman"/>
                <w:sz w:val="16"/>
              </w:rPr>
              <w:t>Gen. 4:26</w:t>
            </w:r>
          </w:p>
        </w:tc>
        <w:tc>
          <w:tcPr>
            <w:tcW w:type="dxa" w:w="3408"/>
            <w:vAlign w:val="top"/>
          </w:tcPr>
          <w:p>
            <w:r>
              <w:rPr>
                <w:rFonts w:ascii="Times New Roman" w:hAnsi="Times New Roman"/>
                <w:sz w:val="16"/>
              </w:rPr>
              <w:t>qara — call/invoke; huchal — “was begun,” with a root also used for profanation</w:t>
            </w:r>
          </w:p>
        </w:tc>
        <w:tc>
          <w:tcPr>
            <w:tcW w:type="dxa" w:w="3408"/>
            <w:vAlign w:val="top"/>
          </w:tcPr>
          <w:p>
            <w:r>
              <w:rPr>
                <w:rFonts w:ascii="Times New Roman" w:hAnsi="Times New Roman"/>
                <w:sz w:val="16"/>
              </w:rPr>
              <w:t>Separates lexical form from Mansfield’s interpretive conclusion that the name was being profaned.</w:t>
            </w:r>
          </w:p>
        </w:tc>
      </w:tr>
    </w:tbl>
    <w:p>
      <w:pPr>
        <w:pStyle w:val="Heading1"/>
      </w:pPr>
      <w:r>
        <w:t>RESIDUAL UNCERTAINTIES</w:t>
      </w:r>
    </w:p>
    <w:p>
      <w:pPr>
        <w:pStyle w:val="ListBullet"/>
        <w:spacing w:after="36"/>
      </w:pPr>
      <w:r>
        <w:t>part of the cramped paragraph under “THE TWO SEEDS”;</w:t>
      </w:r>
    </w:p>
    <w:p>
      <w:pPr>
        <w:pStyle w:val="ListBullet"/>
        <w:spacing w:after="36"/>
      </w:pPr>
      <w:r>
        <w:t>the exact age or maturity suggestion associated with the appointed offering-time in Genesis 4:3;</w:t>
      </w:r>
    </w:p>
    <w:p>
      <w:pPr>
        <w:pStyle w:val="ListBullet"/>
        <w:spacing w:after="36"/>
      </w:pPr>
      <w:r>
        <w:t>the obscured New Testament reference beside the contrast between Abel’s lamb and Cain’s labour in Genesis 4:4;</w:t>
      </w:r>
    </w:p>
    <w:p>
      <w:pPr>
        <w:pStyle w:val="ListBullet"/>
        <w:spacing w:after="36"/>
      </w:pPr>
      <w:r>
        <w:t>part of Mansfield’s handwritten progression-list beside Genesis 4:10;</w:t>
      </w:r>
    </w:p>
    <w:p>
      <w:pPr>
        <w:pStyle w:val="ListBullet"/>
        <w:spacing w:after="36"/>
      </w:pPr>
      <w:r>
        <w:t>some details in the comparison between Cain’s mark and later marked or protected peoples;</w:t>
      </w:r>
    </w:p>
    <w:p>
      <w:pPr>
        <w:pStyle w:val="ListBullet"/>
        <w:spacing w:after="36"/>
      </w:pPr>
      <w:r>
        <w:t>several etymologies in the comparative Cain/Seth genealogy;</w:t>
      </w:r>
    </w:p>
    <w:p>
      <w:pPr>
        <w:pStyle w:val="ListBullet"/>
        <w:spacing w:after="36"/>
      </w:pPr>
      <w:r>
        <w:t>some dense wording in the Jubal/Lamech material on organised fleshly society.</w:t>
      </w:r>
    </w:p>
    <w:p>
      <w:r>
        <w:t>These items remain explicitly unresolved. Published Expositor material has only been used where it genuinely helps identify a word, reference or argument already present in the HPB notes.</w:t>
      </w:r>
    </w:p>
    <w:sectPr w:rsidR="00FC693F" w:rsidRPr="0006063C" w:rsidSect="00034616">
      <w:headerReference w:type="default" r:id="rId9"/>
      <w:footerReference w:type="default" r:id="rId10"/>
      <w:pgSz w:w="12240" w:h="15840"/>
      <w:pgMar w:top="835" w:right="1008" w:bottom="83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6"/>
      </w:rPr>
      <w:t>H. P. MANSFIELD BIBLE NOTES  •  GENESIS 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4" w:line="250" w:lineRule="auto"/>
    </w:pPr>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Times New Roman" w:hAnsi="Times New Roman" w:eastAsia="Times New Roman"/>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140" w:after="50"/>
      <w:outlineLvl w:val="1"/>
    </w:pPr>
    <w:rPr>
      <w:rFonts w:asciiTheme="majorHAnsi" w:eastAsiaTheme="majorEastAsia" w:hAnsiTheme="majorHAnsi" w:cstheme="majorBidi" w:ascii="Times New Roman" w:hAnsi="Times New Roman" w:eastAsia="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b/>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